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B6D" w:rsidRDefault="00902B6D" w:rsidP="00B242A8">
      <w:pPr>
        <w:snapToGrid w:val="0"/>
        <w:spacing w:line="360" w:lineRule="auto"/>
        <w:jc w:val="center"/>
        <w:outlineLvl w:val="0"/>
        <w:rPr>
          <w:rFonts w:ascii="新宋体" w:eastAsia="新宋体" w:hAnsi="新宋体"/>
          <w:b/>
          <w:color w:val="auto"/>
          <w:sz w:val="30"/>
          <w:szCs w:val="30"/>
        </w:rPr>
      </w:pPr>
      <w:bookmarkStart w:id="0" w:name="_Toc153539700"/>
      <w:r w:rsidRPr="00902B6D">
        <w:rPr>
          <w:rFonts w:ascii="新宋体" w:eastAsia="新宋体" w:hAnsi="新宋体" w:hint="eastAsia"/>
          <w:b/>
          <w:color w:val="auto"/>
          <w:sz w:val="30"/>
          <w:szCs w:val="30"/>
        </w:rPr>
        <w:t>青银理财璀璨人生奋斗系列开放式净值型</w:t>
      </w:r>
    </w:p>
    <w:p w:rsidR="005E39AE" w:rsidRPr="0060041A" w:rsidRDefault="00902B6D" w:rsidP="00B242A8">
      <w:pPr>
        <w:snapToGrid w:val="0"/>
        <w:spacing w:line="360" w:lineRule="auto"/>
        <w:jc w:val="center"/>
        <w:outlineLvl w:val="0"/>
        <w:rPr>
          <w:rFonts w:ascii="新宋体" w:eastAsia="新宋体" w:hAnsi="新宋体"/>
          <w:b/>
          <w:color w:val="auto"/>
          <w:sz w:val="30"/>
          <w:szCs w:val="30"/>
        </w:rPr>
      </w:pPr>
      <w:r w:rsidRPr="00902B6D">
        <w:rPr>
          <w:rFonts w:ascii="新宋体" w:eastAsia="新宋体" w:hAnsi="新宋体" w:hint="eastAsia"/>
          <w:b/>
          <w:color w:val="auto"/>
          <w:sz w:val="30"/>
          <w:szCs w:val="30"/>
        </w:rPr>
        <w:t>人民币理财计划（</w:t>
      </w:r>
      <w:r w:rsidR="00023F08" w:rsidRPr="00023F08">
        <w:rPr>
          <w:rFonts w:ascii="新宋体" w:eastAsia="新宋体" w:hAnsi="新宋体" w:hint="eastAsia"/>
          <w:b/>
          <w:color w:val="auto"/>
          <w:sz w:val="30"/>
          <w:szCs w:val="30"/>
        </w:rPr>
        <w:t>货币型</w:t>
      </w:r>
      <w:r w:rsidR="00023F08" w:rsidRPr="00023F08">
        <w:rPr>
          <w:rFonts w:ascii="新宋体" w:eastAsia="新宋体" w:hAnsi="新宋体"/>
          <w:b/>
          <w:color w:val="auto"/>
          <w:sz w:val="30"/>
          <w:szCs w:val="30"/>
        </w:rPr>
        <w:t>V</w:t>
      </w:r>
      <w:r w:rsidRPr="00902B6D">
        <w:rPr>
          <w:rFonts w:ascii="新宋体" w:eastAsia="新宋体" w:hAnsi="新宋体"/>
          <w:b/>
          <w:color w:val="auto"/>
          <w:sz w:val="30"/>
          <w:szCs w:val="30"/>
        </w:rPr>
        <w:t>）</w:t>
      </w:r>
      <w:r w:rsidR="005E39AE" w:rsidRPr="0060041A">
        <w:rPr>
          <w:rFonts w:ascii="新宋体" w:eastAsia="新宋体" w:hAnsi="新宋体" w:hint="eastAsia"/>
          <w:b/>
          <w:color w:val="auto"/>
          <w:sz w:val="30"/>
          <w:szCs w:val="30"/>
        </w:rPr>
        <w:t>产品说明书</w:t>
      </w:r>
      <w:bookmarkEnd w:id="0"/>
    </w:p>
    <w:p w:rsidR="005E39AE" w:rsidRPr="0060041A" w:rsidRDefault="005E39AE">
      <w:pPr>
        <w:spacing w:line="360" w:lineRule="auto"/>
        <w:jc w:val="center"/>
        <w:rPr>
          <w:rFonts w:ascii="新宋体" w:eastAsia="新宋体" w:hAnsi="新宋体"/>
          <w:b/>
          <w:i/>
          <w:sz w:val="21"/>
          <w:szCs w:val="21"/>
          <w:u w:val="single"/>
        </w:rPr>
      </w:pPr>
      <w:r w:rsidRPr="0060041A">
        <w:rPr>
          <w:rFonts w:ascii="新宋体" w:eastAsia="新宋体" w:hAnsi="新宋体" w:cs="宋体" w:hint="eastAsia"/>
          <w:b/>
          <w:i/>
          <w:kern w:val="0"/>
          <w:sz w:val="21"/>
          <w:szCs w:val="21"/>
          <w:u w:val="single"/>
        </w:rPr>
        <w:t>理财非存款、产品有风险、投资须谨慎。</w:t>
      </w:r>
    </w:p>
    <w:p w:rsidR="005E39AE" w:rsidRPr="0060041A" w:rsidRDefault="005E39AE">
      <w:pPr>
        <w:spacing w:line="360" w:lineRule="auto"/>
        <w:rPr>
          <w:rFonts w:ascii="新宋体" w:eastAsia="新宋体" w:hAnsi="新宋体" w:cs="宋体"/>
          <w:b/>
          <w:kern w:val="0"/>
          <w:sz w:val="21"/>
          <w:szCs w:val="21"/>
        </w:rPr>
      </w:pPr>
    </w:p>
    <w:p w:rsidR="005E39AE" w:rsidRPr="0060041A" w:rsidRDefault="005E39AE">
      <w:pPr>
        <w:spacing w:line="360" w:lineRule="auto"/>
        <w:rPr>
          <w:rFonts w:ascii="新宋体" w:eastAsia="新宋体" w:hAnsi="新宋体" w:cs="宋体"/>
          <w:b/>
          <w:kern w:val="0"/>
          <w:sz w:val="21"/>
          <w:szCs w:val="21"/>
        </w:rPr>
      </w:pPr>
      <w:r w:rsidRPr="0060041A">
        <w:rPr>
          <w:rFonts w:ascii="新宋体" w:eastAsia="新宋体" w:hAnsi="新宋体" w:cs="宋体" w:hint="eastAsia"/>
          <w:b/>
          <w:kern w:val="0"/>
          <w:sz w:val="21"/>
          <w:szCs w:val="21"/>
        </w:rPr>
        <w:t>重要须知：</w:t>
      </w:r>
    </w:p>
    <w:p w:rsidR="005E39AE" w:rsidRPr="0060041A" w:rsidRDefault="005E39AE">
      <w:pPr>
        <w:snapToGrid w:val="0"/>
        <w:spacing w:line="360" w:lineRule="auto"/>
        <w:ind w:firstLineChars="196" w:firstLine="413"/>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本理财计划与存款有明显区别。</w:t>
      </w:r>
    </w:p>
    <w:p w:rsidR="005E39AE" w:rsidRPr="0060041A" w:rsidRDefault="005E39AE">
      <w:pPr>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rsidR="005E39AE" w:rsidRPr="0060041A" w:rsidRDefault="005E39AE">
      <w:pPr>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本理财产品仅向依据中华人民共和国有关法律法规及本理财产品说明书约定可以购买本理财产品的投资者发售。</w:t>
      </w:r>
    </w:p>
    <w:p w:rsidR="005E39AE" w:rsidRPr="0060041A" w:rsidRDefault="005E39AE">
      <w:pPr>
        <w:snapToGrid w:val="0"/>
        <w:spacing w:line="360" w:lineRule="auto"/>
        <w:ind w:firstLineChars="200" w:firstLine="422"/>
        <w:jc w:val="left"/>
        <w:rPr>
          <w:rFonts w:ascii="新宋体" w:eastAsia="新宋体" w:hAnsi="新宋体" w:cs="宋体"/>
          <w:b/>
          <w:kern w:val="0"/>
          <w:sz w:val="21"/>
          <w:szCs w:val="21"/>
          <w:u w:val="single"/>
        </w:rPr>
      </w:pPr>
      <w:r w:rsidRPr="0060041A">
        <w:rPr>
          <w:rFonts w:ascii="新宋体" w:eastAsia="新宋体" w:hAnsi="新宋体" w:cs="宋体" w:hint="eastAsia"/>
          <w:b/>
          <w:kern w:val="0"/>
          <w:sz w:val="21"/>
          <w:szCs w:val="21"/>
        </w:rPr>
        <w:t>本理财计划的测算收益、业绩比较基准等类似表述仅供客户投资决策参考，不代表客户可能获得的实际收益，亦不构成青银理财对本理财计划的任何收益承诺。</w:t>
      </w:r>
      <w:r w:rsidRPr="0060041A">
        <w:rPr>
          <w:rFonts w:ascii="新宋体" w:eastAsia="新宋体" w:hAnsi="新宋体" w:cs="宋体" w:hint="eastAsia"/>
          <w:b/>
          <w:kern w:val="0"/>
          <w:sz w:val="21"/>
          <w:szCs w:val="21"/>
          <w:u w:val="single"/>
        </w:rPr>
        <w:t>理财产品过往业绩不代表其未来表现，不等于理财产品实际收益，投资须谨慎。</w:t>
      </w:r>
    </w:p>
    <w:p w:rsidR="005E39AE" w:rsidRPr="0060041A" w:rsidRDefault="005E39AE">
      <w:pPr>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本理财计划的产品说明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投资者承诺其用于认购理财计划的资金来源合法合规，不存在使用贷款、发行债券等筹集的非自有资金投资本理财产品的情形。</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rsidR="005E39AE" w:rsidRPr="0060041A" w:rsidRDefault="005E39AE">
      <w:pPr>
        <w:spacing w:line="360" w:lineRule="auto"/>
        <w:ind w:firstLineChars="200" w:firstLine="422"/>
        <w:rPr>
          <w:rFonts w:ascii="新宋体" w:eastAsia="新宋体" w:hAnsi="新宋体" w:cs="宋体"/>
          <w:b/>
          <w:color w:val="0000FF"/>
          <w:kern w:val="0"/>
          <w:sz w:val="21"/>
          <w:szCs w:val="21"/>
        </w:rPr>
      </w:pPr>
      <w:r w:rsidRPr="0060041A">
        <w:rPr>
          <w:rFonts w:ascii="新宋体" w:eastAsia="新宋体" w:hAnsi="新宋体" w:cs="宋体" w:hint="eastAsia"/>
          <w:b/>
          <w:kern w:val="0"/>
          <w:sz w:val="21"/>
          <w:szCs w:val="21"/>
        </w:rPr>
        <w:t>在本理财计划存续期内，如出于维持本产品正常运营的需要且在不损害投资者利益的前提下，或因国家法律法规、监管规定发生变化，管理人有权在法律允许的范围内单方对本产品说明书进行修订。管理人决定对产品说明书进行修订的，将提前以本《产品说明书》约定的信息披露方式向投资者进行信息披露，管理人按照前述规则发布该信息披露即视为该修订通知已送达投资者并对投资者具有法律约束力。</w:t>
      </w:r>
    </w:p>
    <w:p w:rsidR="005E39AE" w:rsidRPr="0060041A" w:rsidRDefault="005E39AE">
      <w:pPr>
        <w:numPr>
          <w:ilvl w:val="0"/>
          <w:numId w:val="1"/>
        </w:numPr>
        <w:tabs>
          <w:tab w:val="left" w:pos="567"/>
        </w:tabs>
        <w:spacing w:line="360" w:lineRule="auto"/>
        <w:rPr>
          <w:rFonts w:ascii="新宋体" w:eastAsia="新宋体" w:hAnsi="新宋体"/>
          <w:b/>
          <w:sz w:val="21"/>
          <w:szCs w:val="21"/>
        </w:rPr>
      </w:pPr>
      <w:r w:rsidRPr="0060041A">
        <w:rPr>
          <w:rFonts w:hint="eastAsia"/>
          <w:b/>
          <w:sz w:val="21"/>
          <w:szCs w:val="21"/>
        </w:rPr>
        <w:lastRenderedPageBreak/>
        <w:t>风险揭示</w:t>
      </w:r>
    </w:p>
    <w:p w:rsidR="005E39AE" w:rsidRPr="0060041A" w:rsidRDefault="005E39AE">
      <w:pPr>
        <w:snapToGrid w:val="0"/>
        <w:spacing w:line="360" w:lineRule="auto"/>
        <w:jc w:val="left"/>
        <w:rPr>
          <w:rFonts w:ascii="新宋体" w:eastAsia="新宋体" w:hAnsi="新宋体"/>
          <w:sz w:val="21"/>
          <w:szCs w:val="21"/>
        </w:rPr>
      </w:pPr>
      <w:r w:rsidRPr="0060041A">
        <w:rPr>
          <w:rFonts w:ascii="新宋体" w:eastAsia="新宋体" w:hAnsi="新宋体" w:hint="eastAsia"/>
          <w:sz w:val="21"/>
          <w:szCs w:val="21"/>
        </w:rPr>
        <w:t>尊敬的客户：</w:t>
      </w:r>
    </w:p>
    <w:p w:rsidR="005E39AE" w:rsidRPr="0060041A" w:rsidRDefault="005E39AE">
      <w:pPr>
        <w:snapToGrid w:val="0"/>
        <w:spacing w:line="360" w:lineRule="auto"/>
        <w:ind w:firstLineChars="200" w:firstLine="420"/>
        <w:jc w:val="left"/>
        <w:rPr>
          <w:rFonts w:ascii="新宋体" w:eastAsia="新宋体" w:hAnsi="新宋体"/>
          <w:sz w:val="21"/>
          <w:szCs w:val="21"/>
        </w:rPr>
      </w:pPr>
      <w:r w:rsidRPr="0060041A">
        <w:rPr>
          <w:rFonts w:ascii="新宋体" w:eastAsia="新宋体" w:hAnsi="新宋体" w:hint="eastAsia"/>
          <w:sz w:val="21"/>
          <w:szCs w:val="21"/>
        </w:rPr>
        <w:t>在您购买理财产品前，应仔细阅读本理财产品对应的产品说明书，同时了解本理财计划的投资风险等相关信息，并自己独立作出是否购买本理财产品的决定。您签署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rsidR="005E39AE" w:rsidRPr="0060041A" w:rsidRDefault="005E39AE">
      <w:pPr>
        <w:spacing w:line="360" w:lineRule="auto"/>
        <w:ind w:firstLineChars="200" w:firstLine="422"/>
        <w:rPr>
          <w:rFonts w:ascii="新宋体" w:eastAsia="新宋体" w:hAnsi="新宋体" w:cs="宋体"/>
          <w:b/>
          <w:kern w:val="0"/>
          <w:sz w:val="21"/>
          <w:szCs w:val="21"/>
        </w:rPr>
      </w:pPr>
      <w:r w:rsidRPr="0060041A">
        <w:rPr>
          <w:rFonts w:ascii="新宋体" w:eastAsia="新宋体" w:hAnsi="新宋体" w:cs="宋体" w:hint="eastAsia"/>
          <w:b/>
          <w:kern w:val="0"/>
          <w:sz w:val="21"/>
          <w:szCs w:val="21"/>
        </w:rPr>
        <w:t>理财非存款，产品有风险，投资须谨慎。您应充分认识以下风险：</w:t>
      </w:r>
    </w:p>
    <w:p w:rsidR="005E39AE" w:rsidRPr="0060041A" w:rsidRDefault="005E39AE">
      <w:pPr>
        <w:spacing w:line="360" w:lineRule="auto"/>
        <w:ind w:firstLineChars="200" w:firstLine="420"/>
        <w:rPr>
          <w:rFonts w:ascii="新宋体" w:eastAsia="新宋体" w:hAnsi="新宋体"/>
          <w:b/>
          <w:sz w:val="21"/>
          <w:szCs w:val="21"/>
        </w:rPr>
      </w:pPr>
      <w:r w:rsidRPr="0060041A">
        <w:rPr>
          <w:rFonts w:hint="eastAsia"/>
          <w:b/>
          <w:sz w:val="21"/>
          <w:szCs w:val="21"/>
        </w:rPr>
        <w:t>1.理财本金及收益风险</w:t>
      </w:r>
    </w:p>
    <w:p w:rsidR="005E39AE" w:rsidRPr="0060041A" w:rsidRDefault="005E39AE">
      <w:pPr>
        <w:pStyle w:val="Default"/>
        <w:spacing w:line="360" w:lineRule="auto"/>
        <w:ind w:firstLineChars="200" w:firstLine="420"/>
        <w:rPr>
          <w:rFonts w:ascii="新宋体" w:eastAsia="新宋体" w:hAnsi="新宋体"/>
          <w:color w:val="auto"/>
          <w:sz w:val="21"/>
          <w:szCs w:val="21"/>
        </w:rPr>
      </w:pPr>
      <w:r w:rsidRPr="0060041A">
        <w:rPr>
          <w:rFonts w:ascii="新宋体" w:eastAsia="新宋体" w:hAnsi="新宋体" w:hint="eastAsia"/>
          <w:color w:val="auto"/>
          <w:sz w:val="21"/>
          <w:szCs w:val="21"/>
        </w:rPr>
        <w:t>本理财产品为非保本浮动收益型，不保障理财本金和收益，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基准的风险。</w:t>
      </w:r>
    </w:p>
    <w:p w:rsidR="005E39AE" w:rsidRPr="0060041A" w:rsidRDefault="005E39AE">
      <w:pPr>
        <w:pStyle w:val="Default"/>
        <w:spacing w:line="360" w:lineRule="auto"/>
        <w:ind w:firstLineChars="200" w:firstLine="420"/>
        <w:rPr>
          <w:rFonts w:ascii="新宋体" w:eastAsia="新宋体" w:hAnsi="新宋体"/>
          <w:color w:val="auto"/>
          <w:sz w:val="21"/>
          <w:szCs w:val="21"/>
        </w:rPr>
      </w:pPr>
      <w:r w:rsidRPr="0060041A">
        <w:rPr>
          <w:rFonts w:ascii="新宋体" w:eastAsia="新宋体" w:hAnsi="新宋体" w:hint="eastAsia"/>
          <w:color w:val="auto"/>
          <w:sz w:val="21"/>
          <w:szCs w:val="21"/>
        </w:rPr>
        <w:t>综合考虑本产品的投资组合、同类产品过往业绩和风险水平（包括但不限于拟投资市场和资产的风险评估等）等因素，本产品的青银理财内部评级为</w:t>
      </w:r>
      <w:r w:rsidRPr="0060041A">
        <w:rPr>
          <w:rFonts w:ascii="新宋体" w:eastAsia="新宋体" w:hAnsi="新宋体" w:hint="eastAsia"/>
          <w:b/>
          <w:color w:val="auto"/>
          <w:sz w:val="21"/>
          <w:szCs w:val="21"/>
        </w:rPr>
        <w:t>谨慎型，</w:t>
      </w:r>
      <w:bookmarkStart w:id="1" w:name="_Hlk149119716"/>
      <w:r w:rsidRPr="0060041A">
        <w:rPr>
          <w:rFonts w:ascii="新宋体" w:eastAsia="新宋体" w:hAnsi="新宋体" w:hint="eastAsia"/>
          <w:sz w:val="21"/>
          <w:szCs w:val="21"/>
        </w:rPr>
        <w:t>该评级仅供参考。</w:t>
      </w:r>
      <w:bookmarkEnd w:id="1"/>
      <w:r w:rsidRPr="0060041A">
        <w:rPr>
          <w:rFonts w:ascii="新宋体" w:eastAsia="新宋体" w:hAnsi="新宋体" w:hint="eastAsia"/>
          <w:color w:val="auto"/>
          <w:sz w:val="21"/>
          <w:szCs w:val="21"/>
        </w:rPr>
        <w:t>投资者应充分认识投资风险，谨慎投资。</w:t>
      </w:r>
    </w:p>
    <w:p w:rsidR="005E39AE" w:rsidRPr="0060041A" w:rsidRDefault="005E39AE">
      <w:pPr>
        <w:pStyle w:val="Default"/>
        <w:spacing w:line="360" w:lineRule="auto"/>
        <w:ind w:firstLineChars="200" w:firstLine="422"/>
        <w:rPr>
          <w:rFonts w:ascii="新宋体" w:eastAsia="新宋体" w:hAnsi="新宋体"/>
          <w:color w:val="auto"/>
          <w:sz w:val="21"/>
          <w:szCs w:val="21"/>
        </w:rPr>
      </w:pPr>
      <w:r w:rsidRPr="0060041A">
        <w:rPr>
          <w:rFonts w:ascii="新宋体" w:eastAsia="新宋体" w:hAnsi="新宋体" w:hint="eastAsia"/>
          <w:b/>
          <w:color w:val="auto"/>
          <w:sz w:val="21"/>
          <w:szCs w:val="21"/>
        </w:rPr>
        <w:t>该产品通过代理销售机构渠道销售的，理财产品评级应当以代理销售机构最终披露的评级结果为准，投资者的风险承受能力等级以代理销售机构的评估结果为准。</w:t>
      </w:r>
    </w:p>
    <w:p w:rsidR="0057016F" w:rsidRPr="0060041A" w:rsidRDefault="0057016F" w:rsidP="0057016F">
      <w:pPr>
        <w:pStyle w:val="Default"/>
        <w:spacing w:line="360" w:lineRule="auto"/>
        <w:ind w:firstLineChars="200" w:firstLine="480"/>
        <w:rPr>
          <w:rFonts w:ascii="新宋体" w:eastAsia="新宋体" w:hAnsi="新宋体"/>
          <w:b/>
          <w:color w:val="auto"/>
          <w:sz w:val="21"/>
          <w:szCs w:val="21"/>
        </w:rPr>
      </w:pPr>
      <w:r w:rsidRPr="0060041A">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323850</wp:posOffset>
                </wp:positionH>
                <wp:positionV relativeFrom="paragraph">
                  <wp:posOffset>287020</wp:posOffset>
                </wp:positionV>
                <wp:extent cx="0" cy="2049780"/>
                <wp:effectExtent l="66675" t="29845" r="66675" b="15875"/>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4978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102A6F" id="_x0000_t32" coordsize="21600,21600" o:spt="32" o:oned="t" path="m,l21600,21600e" filled="f">
                <v:path arrowok="t" fillok="f" o:connecttype="none"/>
                <o:lock v:ext="edit" shapetype="t"/>
              </v:shapetype>
              <v:shape id="直接箭头连接符 14" o:spid="_x0000_s1026" type="#_x0000_t32" style="position:absolute;left:0;text-align:left;margin-left:25.5pt;margin-top:22.6pt;width:0;height:161.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" strokeweight="2.25pt">
                <v:stroke endarrow="block"/>
              </v:shape>
            </w:pict>
          </mc:Fallback>
        </mc:AlternateContent>
      </w:r>
      <w:r w:rsidRPr="0060041A">
        <w:rPr>
          <w:rFonts w:ascii="新宋体" w:eastAsia="新宋体" w:hAnsi="新宋体" w:hint="eastAsia"/>
          <w:b/>
          <w:color w:val="auto"/>
          <w:sz w:val="21"/>
          <w:szCs w:val="21"/>
        </w:rPr>
        <w:t>产品预期收益</w:t>
      </w:r>
    </w:p>
    <w:p w:rsidR="0057016F" w:rsidRPr="0060041A" w:rsidRDefault="0057016F" w:rsidP="0057016F">
      <w:pPr>
        <w:pStyle w:val="Default"/>
        <w:spacing w:line="360" w:lineRule="auto"/>
        <w:ind w:firstLineChars="200" w:firstLine="480"/>
        <w:rPr>
          <w:rFonts w:ascii="新宋体" w:eastAsia="新宋体" w:hAnsi="新宋体"/>
          <w:color w:val="auto"/>
          <w:sz w:val="21"/>
          <w:szCs w:val="21"/>
        </w:rPr>
      </w:pPr>
      <w:r w:rsidRPr="0060041A">
        <w:rPr>
          <w:rFonts w:hint="eastAsia"/>
          <w:noProof/>
        </w:rPr>
        <mc:AlternateContent>
          <mc:Choice Requires="wps">
            <w:drawing>
              <wp:anchor distT="0" distB="0" distL="114300" distR="114300" simplePos="0" relativeHeight="251665408" behindDoc="0" locked="0" layoutInCell="1" allowOverlap="1">
                <wp:simplePos x="0" y="0"/>
                <wp:positionH relativeFrom="column">
                  <wp:posOffset>2846070</wp:posOffset>
                </wp:positionH>
                <wp:positionV relativeFrom="paragraph">
                  <wp:posOffset>142240</wp:posOffset>
                </wp:positionV>
                <wp:extent cx="1106805" cy="276225"/>
                <wp:effectExtent l="7620" t="8890" r="9525" b="1016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276225"/>
                        </a:xfrm>
                        <a:prstGeom prst="rect">
                          <a:avLst/>
                        </a:prstGeom>
                        <a:solidFill>
                          <a:srgbClr val="FFFFFF"/>
                        </a:solidFill>
                        <a:ln w="9525">
                          <a:solidFill>
                            <a:srgbClr val="FFFFFF"/>
                          </a:solidFill>
                          <a:miter lim="800000"/>
                          <a:headEnd/>
                          <a:tailEnd/>
                        </a:ln>
                      </wps:spPr>
                      <wps:txbx>
                        <w:txbxContent>
                          <w:p w:rsidR="0057016F" w:rsidRDefault="0057016F" w:rsidP="0057016F">
                            <w:pPr>
                              <w:rPr>
                                <w:sz w:val="18"/>
                                <w:szCs w:val="18"/>
                              </w:rPr>
                            </w:pPr>
                            <w:r>
                              <w:rPr>
                                <w:rFonts w:hint="eastAsia"/>
                                <w:sz w:val="18"/>
                                <w:szCs w:val="18"/>
                              </w:rPr>
                              <w:t>激进型</w:t>
                            </w: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3" o:spid="_x0000_s1026" style="position:absolute;left:0;text-align:left;margin-left:224.1pt;margin-top:11.2pt;width:87.15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" strokecolor="white">
                <v:textbox>
                  <w:txbxContent>
                    <w:p w:rsidR="0057016F" w:rsidRDefault="0057016F" w:rsidP="0057016F">
                      <w:pPr>
                        <w:rPr>
                          <w:sz w:val="18"/>
                          <w:szCs w:val="18"/>
                        </w:rPr>
                      </w:pPr>
                      <w:r>
                        <w:rPr>
                          <w:rFonts w:hint="eastAsia"/>
                          <w:sz w:val="18"/>
                          <w:szCs w:val="18"/>
                        </w:rPr>
                        <w:t>激进型</w:t>
                      </w:r>
                      <w:r>
                        <w:rPr>
                          <w:rFonts w:ascii="宋体" w:hAnsi="宋体" w:hint="eastAsia"/>
                          <w:sz w:val="18"/>
                          <w:szCs w:val="18"/>
                        </w:rPr>
                        <w:t>★★★★★</w:t>
                      </w:r>
                    </w:p>
                  </w:txbxContent>
                </v:textbox>
              </v:rect>
            </w:pict>
          </mc:Fallback>
        </mc:AlternateContent>
      </w:r>
      <w:r w:rsidRPr="0060041A">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1483995</wp:posOffset>
                </wp:positionH>
                <wp:positionV relativeFrom="paragraph">
                  <wp:posOffset>850900</wp:posOffset>
                </wp:positionV>
                <wp:extent cx="895350" cy="276225"/>
                <wp:effectExtent l="7620" t="12700" r="11430" b="635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276225"/>
                        </a:xfrm>
                        <a:prstGeom prst="rect">
                          <a:avLst/>
                        </a:prstGeom>
                        <a:solidFill>
                          <a:srgbClr val="FFFFFF"/>
                        </a:solidFill>
                        <a:ln w="9525">
                          <a:solidFill>
                            <a:srgbClr val="FFFFFF"/>
                          </a:solidFill>
                          <a:miter lim="800000"/>
                          <a:headEnd/>
                          <a:tailEnd/>
                        </a:ln>
                      </wps:spPr>
                      <wps:txbx>
                        <w:txbxContent>
                          <w:p w:rsidR="0057016F" w:rsidRDefault="0057016F" w:rsidP="0057016F">
                            <w:pPr>
                              <w:rPr>
                                <w:sz w:val="18"/>
                                <w:szCs w:val="18"/>
                              </w:rPr>
                            </w:pPr>
                            <w:r>
                              <w:rPr>
                                <w:rFonts w:hint="eastAsia"/>
                                <w:sz w:val="18"/>
                                <w:szCs w:val="18"/>
                              </w:rPr>
                              <w:t>平衡型</w:t>
                            </w: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2" o:spid="_x0000_s1027" style="position:absolute;left:0;text-align:left;margin-left:116.85pt;margin-top:67pt;width:70.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" strokecolor="white">
                <v:textbox>
                  <w:txbxContent>
                    <w:p w:rsidR="0057016F" w:rsidRDefault="0057016F" w:rsidP="0057016F">
                      <w:pPr>
                        <w:rPr>
                          <w:sz w:val="18"/>
                          <w:szCs w:val="18"/>
                        </w:rPr>
                      </w:pPr>
                      <w:r>
                        <w:rPr>
                          <w:rFonts w:hint="eastAsia"/>
                          <w:sz w:val="18"/>
                          <w:szCs w:val="18"/>
                        </w:rPr>
                        <w:t>平衡型</w:t>
                      </w:r>
                      <w:r>
                        <w:rPr>
                          <w:rFonts w:ascii="宋体" w:hAnsi="宋体" w:hint="eastAsia"/>
                          <w:sz w:val="18"/>
                          <w:szCs w:val="18"/>
                        </w:rPr>
                        <w:t>★★★</w:t>
                      </w:r>
                    </w:p>
                  </w:txbxContent>
                </v:textbox>
              </v:rect>
            </w:pict>
          </mc:Fallback>
        </mc:AlternateContent>
      </w:r>
      <w:r w:rsidRPr="0060041A">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2154555</wp:posOffset>
                </wp:positionH>
                <wp:positionV relativeFrom="paragraph">
                  <wp:posOffset>530860</wp:posOffset>
                </wp:positionV>
                <wp:extent cx="992505" cy="276225"/>
                <wp:effectExtent l="11430" t="6985" r="5715" b="12065"/>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276225"/>
                        </a:xfrm>
                        <a:prstGeom prst="rect">
                          <a:avLst/>
                        </a:prstGeom>
                        <a:solidFill>
                          <a:srgbClr val="FFFFFF"/>
                        </a:solidFill>
                        <a:ln w="9525">
                          <a:solidFill>
                            <a:srgbClr val="FFFFFF"/>
                          </a:solidFill>
                          <a:miter lim="800000"/>
                          <a:headEnd/>
                          <a:tailEnd/>
                        </a:ln>
                      </wps:spPr>
                      <wps:txbx>
                        <w:txbxContent>
                          <w:p w:rsidR="0057016F" w:rsidRDefault="0057016F" w:rsidP="0057016F">
                            <w:pPr>
                              <w:rPr>
                                <w:sz w:val="18"/>
                                <w:szCs w:val="18"/>
                              </w:rPr>
                            </w:pPr>
                            <w:r>
                              <w:rPr>
                                <w:rFonts w:hint="eastAsia"/>
                                <w:sz w:val="18"/>
                                <w:szCs w:val="18"/>
                              </w:rPr>
                              <w:t>进取型</w:t>
                            </w: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1" o:spid="_x0000_s1028" style="position:absolute;left:0;text-align:left;margin-left:169.65pt;margin-top:41.8pt;width:78.1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" strokecolor="white">
                <v:textbox>
                  <w:txbxContent>
                    <w:p w:rsidR="0057016F" w:rsidRDefault="0057016F" w:rsidP="0057016F">
                      <w:pPr>
                        <w:rPr>
                          <w:sz w:val="18"/>
                          <w:szCs w:val="18"/>
                        </w:rPr>
                      </w:pPr>
                      <w:r>
                        <w:rPr>
                          <w:rFonts w:hint="eastAsia"/>
                          <w:sz w:val="18"/>
                          <w:szCs w:val="18"/>
                        </w:rPr>
                        <w:t>进取型</w:t>
                      </w:r>
                      <w:r>
                        <w:rPr>
                          <w:rFonts w:ascii="宋体" w:hAnsi="宋体" w:hint="eastAsia"/>
                          <w:sz w:val="18"/>
                          <w:szCs w:val="18"/>
                        </w:rPr>
                        <w:t>★★★★</w:t>
                      </w:r>
                    </w:p>
                  </w:txbxContent>
                </v:textbox>
              </v:rect>
            </w:pict>
          </mc:Fallback>
        </mc:AlternateContent>
      </w:r>
    </w:p>
    <w:p w:rsidR="0057016F" w:rsidRPr="0060041A" w:rsidRDefault="0057016F" w:rsidP="0057016F">
      <w:pPr>
        <w:pStyle w:val="Default"/>
        <w:spacing w:line="360" w:lineRule="auto"/>
        <w:ind w:firstLineChars="200" w:firstLine="420"/>
        <w:rPr>
          <w:rFonts w:ascii="新宋体" w:eastAsia="新宋体" w:hAnsi="新宋体"/>
          <w:color w:val="auto"/>
          <w:sz w:val="21"/>
          <w:szCs w:val="21"/>
        </w:rPr>
      </w:pPr>
    </w:p>
    <w:p w:rsidR="0057016F" w:rsidRPr="0060041A" w:rsidRDefault="0057016F" w:rsidP="0057016F">
      <w:pPr>
        <w:pStyle w:val="Default"/>
        <w:spacing w:line="360" w:lineRule="auto"/>
        <w:ind w:firstLineChars="200" w:firstLine="420"/>
        <w:rPr>
          <w:rFonts w:ascii="新宋体" w:eastAsia="新宋体" w:hAnsi="新宋体"/>
          <w:color w:val="auto"/>
          <w:sz w:val="21"/>
          <w:szCs w:val="21"/>
        </w:rPr>
      </w:pPr>
    </w:p>
    <w:p w:rsidR="0057016F" w:rsidRPr="0060041A" w:rsidRDefault="0057016F" w:rsidP="0057016F">
      <w:pPr>
        <w:pStyle w:val="Default"/>
        <w:spacing w:line="360" w:lineRule="auto"/>
        <w:ind w:firstLineChars="200" w:firstLine="420"/>
        <w:rPr>
          <w:rFonts w:ascii="新宋体" w:eastAsia="新宋体" w:hAnsi="新宋体"/>
          <w:color w:val="auto"/>
          <w:sz w:val="21"/>
          <w:szCs w:val="21"/>
        </w:rPr>
      </w:pPr>
    </w:p>
    <w:p w:rsidR="0057016F" w:rsidRPr="0060041A" w:rsidRDefault="0057016F" w:rsidP="0057016F">
      <w:pPr>
        <w:pStyle w:val="Default"/>
        <w:spacing w:line="360" w:lineRule="auto"/>
        <w:ind w:firstLineChars="200" w:firstLine="480"/>
        <w:rPr>
          <w:rFonts w:ascii="新宋体" w:eastAsia="新宋体" w:hAnsi="新宋体"/>
          <w:color w:val="auto"/>
          <w:sz w:val="21"/>
          <w:szCs w:val="21"/>
        </w:rPr>
      </w:pPr>
      <w:r w:rsidRPr="0060041A">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1019175</wp:posOffset>
                </wp:positionH>
                <wp:positionV relativeFrom="paragraph">
                  <wp:posOffset>96520</wp:posOffset>
                </wp:positionV>
                <wp:extent cx="1219200" cy="276225"/>
                <wp:effectExtent l="9525" t="10795" r="9525" b="8255"/>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276225"/>
                        </a:xfrm>
                        <a:prstGeom prst="rect">
                          <a:avLst/>
                        </a:prstGeom>
                        <a:solidFill>
                          <a:srgbClr val="FFFFFF"/>
                        </a:solidFill>
                        <a:ln w="9525">
                          <a:solidFill>
                            <a:srgbClr val="FFFFFF"/>
                          </a:solidFill>
                          <a:miter lim="800000"/>
                          <a:headEnd/>
                          <a:tailEnd/>
                        </a:ln>
                      </wps:spPr>
                      <wps:txbx>
                        <w:txbxContent>
                          <w:p w:rsidR="0057016F" w:rsidRDefault="0057016F" w:rsidP="0057016F">
                            <w:pPr>
                              <w:rPr>
                                <w:sz w:val="18"/>
                                <w:szCs w:val="18"/>
                              </w:rPr>
                            </w:pPr>
                            <w:r>
                              <w:rPr>
                                <w:rFonts w:hint="eastAsia"/>
                                <w:sz w:val="18"/>
                                <w:szCs w:val="18"/>
                              </w:rPr>
                              <w:t>稳健型</w:t>
                            </w: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29" style="position:absolute;left:0;text-align:left;margin-left:80.25pt;margin-top:7.6pt;width:96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" strokecolor="white">
                <v:textbox>
                  <w:txbxContent>
                    <w:p w:rsidR="0057016F" w:rsidRDefault="0057016F" w:rsidP="0057016F">
                      <w:pPr>
                        <w:rPr>
                          <w:sz w:val="18"/>
                          <w:szCs w:val="18"/>
                        </w:rPr>
                      </w:pPr>
                      <w:r>
                        <w:rPr>
                          <w:rFonts w:hint="eastAsia"/>
                          <w:sz w:val="18"/>
                          <w:szCs w:val="18"/>
                        </w:rPr>
                        <w:t>稳健型</w:t>
                      </w:r>
                      <w:r>
                        <w:rPr>
                          <w:rFonts w:ascii="宋体" w:hAnsi="宋体" w:hint="eastAsia"/>
                          <w:sz w:val="18"/>
                          <w:szCs w:val="18"/>
                        </w:rPr>
                        <w:t>★★</w:t>
                      </w:r>
                    </w:p>
                  </w:txbxContent>
                </v:textbox>
              </v:rect>
            </w:pict>
          </mc:Fallback>
        </mc:AlternateContent>
      </w:r>
    </w:p>
    <w:p w:rsidR="0057016F" w:rsidRPr="0060041A" w:rsidRDefault="0057016F" w:rsidP="0057016F">
      <w:pPr>
        <w:pStyle w:val="Default"/>
        <w:spacing w:line="360" w:lineRule="auto"/>
        <w:ind w:firstLineChars="200" w:firstLine="480"/>
        <w:rPr>
          <w:rFonts w:ascii="新宋体" w:eastAsia="新宋体" w:hAnsi="新宋体"/>
          <w:color w:val="auto"/>
          <w:sz w:val="21"/>
          <w:szCs w:val="21"/>
        </w:rPr>
      </w:pPr>
      <w:r w:rsidRPr="0060041A">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447675</wp:posOffset>
                </wp:positionH>
                <wp:positionV relativeFrom="paragraph">
                  <wp:posOffset>153670</wp:posOffset>
                </wp:positionV>
                <wp:extent cx="781050" cy="276225"/>
                <wp:effectExtent l="9525" t="10795" r="9525" b="8255"/>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276225"/>
                        </a:xfrm>
                        <a:prstGeom prst="rect">
                          <a:avLst/>
                        </a:prstGeom>
                        <a:solidFill>
                          <a:srgbClr val="A5A5A5"/>
                        </a:solidFill>
                        <a:ln w="9525">
                          <a:solidFill>
                            <a:srgbClr val="000000"/>
                          </a:solidFill>
                          <a:miter lim="800000"/>
                          <a:headEnd/>
                          <a:tailEnd/>
                        </a:ln>
                      </wps:spPr>
                      <wps:txbx>
                        <w:txbxContent>
                          <w:p w:rsidR="0057016F" w:rsidRDefault="0057016F" w:rsidP="0057016F">
                            <w:pPr>
                              <w:rPr>
                                <w:sz w:val="18"/>
                                <w:szCs w:val="18"/>
                              </w:rPr>
                            </w:pPr>
                            <w:r>
                              <w:rPr>
                                <w:rFonts w:hint="eastAsia"/>
                                <w:b/>
                                <w:sz w:val="18"/>
                                <w:szCs w:val="18"/>
                              </w:rPr>
                              <w:t>谨慎型</w:t>
                            </w: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030" style="position:absolute;left:0;text-align:left;margin-left:35.25pt;margin-top:12.1pt;width:61.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" fillcolor="#a5a5a5">
                <v:textbox>
                  <w:txbxContent>
                    <w:p w:rsidR="0057016F" w:rsidRDefault="0057016F" w:rsidP="0057016F">
                      <w:pPr>
                        <w:rPr>
                          <w:sz w:val="18"/>
                          <w:szCs w:val="18"/>
                        </w:rPr>
                      </w:pPr>
                      <w:r>
                        <w:rPr>
                          <w:rFonts w:hint="eastAsia"/>
                          <w:b/>
                          <w:sz w:val="18"/>
                          <w:szCs w:val="18"/>
                        </w:rPr>
                        <w:t>谨慎型</w:t>
                      </w:r>
                      <w:r>
                        <w:rPr>
                          <w:rFonts w:ascii="宋体" w:hAnsi="宋体" w:hint="eastAsia"/>
                          <w:sz w:val="18"/>
                          <w:szCs w:val="18"/>
                        </w:rPr>
                        <w:t>★</w:t>
                      </w:r>
                    </w:p>
                  </w:txbxContent>
                </v:textbox>
              </v:rect>
            </w:pict>
          </mc:Fallback>
        </mc:AlternateContent>
      </w:r>
    </w:p>
    <w:p w:rsidR="0057016F" w:rsidRPr="0060041A" w:rsidRDefault="0057016F" w:rsidP="0057016F">
      <w:pPr>
        <w:pStyle w:val="Default"/>
        <w:spacing w:line="360" w:lineRule="auto"/>
        <w:ind w:firstLineChars="200" w:firstLine="480"/>
        <w:rPr>
          <w:rFonts w:ascii="新宋体" w:eastAsia="新宋体" w:hAnsi="新宋体"/>
          <w:color w:val="auto"/>
          <w:sz w:val="21"/>
          <w:szCs w:val="21"/>
        </w:rPr>
      </w:pPr>
      <w:r w:rsidRPr="0060041A">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323850</wp:posOffset>
                </wp:positionH>
                <wp:positionV relativeFrom="paragraph">
                  <wp:posOffset>256540</wp:posOffset>
                </wp:positionV>
                <wp:extent cx="3629025" cy="0"/>
                <wp:effectExtent l="19050" t="75565" r="28575" b="6731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902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DD4E0" id="直接箭头连接符 8" o:spid="_x0000_s1026" type="#_x0000_t32" style="position:absolute;left:0;text-align:left;margin-left:25.5pt;margin-top:20.2pt;width:28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" strokeweight="2.25pt">
                <v:stroke endarrow="block"/>
              </v:shape>
            </w:pict>
          </mc:Fallback>
        </mc:AlternateContent>
      </w:r>
      <w:r w:rsidRPr="0060041A">
        <w:rPr>
          <w:rFonts w:ascii="新宋体" w:eastAsia="新宋体" w:hAnsi="新宋体" w:hint="eastAsia"/>
          <w:color w:val="auto"/>
          <w:sz w:val="21"/>
          <w:szCs w:val="21"/>
        </w:rPr>
        <w:t xml:space="preserve">                                                        </w:t>
      </w:r>
      <w:r w:rsidRPr="0060041A">
        <w:rPr>
          <w:rFonts w:ascii="新宋体" w:eastAsia="新宋体" w:hAnsi="新宋体" w:hint="eastAsia"/>
          <w:b/>
          <w:color w:val="auto"/>
          <w:sz w:val="21"/>
          <w:szCs w:val="21"/>
        </w:rPr>
        <w:t>产品风险等级</w:t>
      </w:r>
    </w:p>
    <w:p w:rsidR="0057016F" w:rsidRPr="0060041A" w:rsidRDefault="0057016F" w:rsidP="0057016F">
      <w:pPr>
        <w:pStyle w:val="Default"/>
        <w:spacing w:line="360" w:lineRule="auto"/>
        <w:ind w:firstLineChars="200" w:firstLine="420"/>
        <w:rPr>
          <w:color w:val="auto"/>
          <w:sz w:val="21"/>
          <w:szCs w:val="21"/>
        </w:rPr>
      </w:pPr>
      <w:r w:rsidRPr="0060041A">
        <w:rPr>
          <w:rFonts w:hint="eastAsia"/>
          <w:color w:val="auto"/>
          <w:sz w:val="21"/>
          <w:szCs w:val="21"/>
        </w:rPr>
        <w:t>（本评级为青银理财内部评级，仅供参考）</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2.管理人风险</w:t>
      </w:r>
    </w:p>
    <w:p w:rsidR="005E39AE" w:rsidRPr="0060041A" w:rsidRDefault="005E39AE">
      <w:pPr>
        <w:snapToGrid w:val="0"/>
        <w:spacing w:line="360" w:lineRule="auto"/>
        <w:ind w:firstLineChars="200" w:firstLine="420"/>
        <w:jc w:val="left"/>
        <w:rPr>
          <w:rFonts w:ascii="新宋体" w:eastAsia="新宋体" w:hAnsi="新宋体"/>
          <w:sz w:val="21"/>
          <w:szCs w:val="21"/>
        </w:rPr>
      </w:pPr>
      <w:r w:rsidRPr="0060041A">
        <w:rPr>
          <w:rFonts w:ascii="新宋体" w:eastAsia="新宋体" w:hAnsi="新宋体" w:hint="eastAsia"/>
          <w:sz w:val="21"/>
          <w:szCs w:val="21"/>
        </w:rPr>
        <w:t>因管理人（包括本理财计划的理财管理人、所投资信托计划/资管计划的受托人（如有）、相关投资顾问（如有）等，下同）受经验、技能等因素限制，可能导致本理财计划项下的理财资金遭受损失。</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3.市场风险</w:t>
      </w:r>
    </w:p>
    <w:p w:rsidR="005E39AE" w:rsidRPr="0060041A" w:rsidRDefault="005E39AE">
      <w:pPr>
        <w:snapToGrid w:val="0"/>
        <w:spacing w:line="360" w:lineRule="auto"/>
        <w:ind w:firstLineChars="200" w:firstLine="420"/>
        <w:jc w:val="left"/>
        <w:rPr>
          <w:rFonts w:ascii="新宋体" w:eastAsia="新宋体" w:hAnsi="新宋体"/>
          <w:sz w:val="21"/>
          <w:szCs w:val="21"/>
        </w:rPr>
      </w:pPr>
      <w:r w:rsidRPr="0060041A">
        <w:rPr>
          <w:rFonts w:ascii="新宋体" w:eastAsia="新宋体" w:hAnsi="新宋体" w:hint="eastAsia"/>
          <w:sz w:val="21"/>
          <w:szCs w:val="21"/>
        </w:rPr>
        <w:t>受未来各种市场因素变化影响，本产品基础资产价值可能波动，进而导致客户投资收益波动，甚至本金损失。市场风险包括但不限于投资债券面临的利率变化及债券价格波动带来的风险，投资股票面临的股票价格波动带来的风险，投资商品及金融衍生品面临的商品及衍生品价格波动带来的风险等。青银理财将竭力降低市场风险带来的负面影响，但并不能完全规避。</w:t>
      </w:r>
    </w:p>
    <w:p w:rsidR="005E39AE" w:rsidRPr="0060041A" w:rsidRDefault="005E39AE">
      <w:pPr>
        <w:snapToGrid w:val="0"/>
        <w:spacing w:line="360" w:lineRule="auto"/>
        <w:ind w:firstLineChars="200" w:firstLine="422"/>
        <w:jc w:val="left"/>
        <w:rPr>
          <w:rFonts w:ascii="新宋体" w:eastAsia="新宋体" w:hAnsi="新宋体"/>
          <w:b/>
          <w:sz w:val="21"/>
          <w:szCs w:val="21"/>
        </w:rPr>
      </w:pPr>
      <w:r w:rsidRPr="0060041A">
        <w:rPr>
          <w:rFonts w:ascii="新宋体" w:eastAsia="新宋体" w:hAnsi="新宋体" w:hint="eastAsia"/>
          <w:b/>
          <w:sz w:val="21"/>
          <w:szCs w:val="21"/>
        </w:rPr>
        <w:t>4.政策风险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b/>
          <w:kern w:val="0"/>
          <w:sz w:val="21"/>
          <w:szCs w:val="21"/>
        </w:rPr>
      </w:pPr>
      <w:r w:rsidRPr="0060041A">
        <w:rPr>
          <w:rFonts w:ascii="新宋体" w:eastAsia="新宋体" w:hAnsi="新宋体" w:cs="宋体" w:hint="eastAsia"/>
          <w:kern w:val="0"/>
          <w:sz w:val="21"/>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5.流动性风险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kern w:val="0"/>
          <w:sz w:val="21"/>
          <w:szCs w:val="21"/>
        </w:rPr>
      </w:pPr>
      <w:r w:rsidRPr="0060041A">
        <w:rPr>
          <w:rFonts w:ascii="新宋体" w:eastAsia="新宋体" w:hAnsi="新宋体" w:cs="宋体" w:hint="eastAsia"/>
          <w:kern w:val="0"/>
          <w:sz w:val="21"/>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6</w:t>
      </w:r>
      <w:r w:rsidRPr="0060041A">
        <w:rPr>
          <w:rFonts w:ascii="新宋体" w:eastAsia="新宋体" w:hAnsi="新宋体" w:cs="宋体"/>
          <w:b/>
          <w:kern w:val="0"/>
          <w:sz w:val="21"/>
          <w:szCs w:val="21"/>
        </w:rPr>
        <w:t>.</w:t>
      </w:r>
      <w:r w:rsidRPr="0060041A">
        <w:rPr>
          <w:rFonts w:ascii="新宋体" w:eastAsia="新宋体" w:hAnsi="新宋体" w:cs="宋体" w:hint="eastAsia"/>
          <w:b/>
          <w:kern w:val="0"/>
          <w:sz w:val="21"/>
          <w:szCs w:val="21"/>
        </w:rPr>
        <w:t>估值风险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kern w:val="0"/>
          <w:sz w:val="21"/>
          <w:szCs w:val="21"/>
        </w:rPr>
      </w:pPr>
      <w:r w:rsidRPr="0060041A">
        <w:rPr>
          <w:rFonts w:ascii="新宋体" w:eastAsia="新宋体" w:hAnsi="新宋体" w:cs="宋体" w:hint="eastAsia"/>
          <w:kern w:val="0"/>
          <w:sz w:val="21"/>
          <w:szCs w:val="21"/>
        </w:rPr>
        <w:t>本理财产品按《产品说明书》的估值方法进行估值，理财产品估值与实际变现价值可能发生偏离，投资者应知晓该风险。管理人估值仅作为参考，管理人不承担第三方再次使用该估值引发的其他风险。请投资者特别关注本产品采用摊余成本法对持有投资组合进行会计核算的风险: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b/>
          <w:kern w:val="0"/>
          <w:sz w:val="21"/>
          <w:szCs w:val="21"/>
        </w:rPr>
        <w:t>7</w:t>
      </w:r>
      <w:r w:rsidRPr="0060041A">
        <w:rPr>
          <w:rFonts w:ascii="新宋体" w:eastAsia="新宋体" w:hAnsi="新宋体" w:cs="宋体" w:hint="eastAsia"/>
          <w:b/>
          <w:kern w:val="0"/>
          <w:sz w:val="21"/>
          <w:szCs w:val="21"/>
        </w:rPr>
        <w:t>.理财计划不成立风险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kern w:val="0"/>
          <w:sz w:val="21"/>
          <w:szCs w:val="21"/>
        </w:rPr>
      </w:pPr>
      <w:r w:rsidRPr="0060041A">
        <w:rPr>
          <w:rFonts w:ascii="新宋体" w:eastAsia="新宋体" w:hAnsi="新宋体" w:cs="宋体" w:hint="eastAsia"/>
          <w:kern w:val="0"/>
          <w:sz w:val="21"/>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b/>
          <w:kern w:val="0"/>
          <w:sz w:val="21"/>
          <w:szCs w:val="21"/>
        </w:rPr>
        <w:t>8</w:t>
      </w:r>
      <w:r w:rsidRPr="0060041A">
        <w:rPr>
          <w:rFonts w:ascii="新宋体" w:eastAsia="新宋体" w:hAnsi="新宋体" w:cs="宋体" w:hint="eastAsia"/>
          <w:b/>
          <w:kern w:val="0"/>
          <w:sz w:val="21"/>
          <w:szCs w:val="21"/>
        </w:rPr>
        <w:t>.理财计划提前终止风险</w:t>
      </w:r>
    </w:p>
    <w:p w:rsidR="005E39AE" w:rsidRPr="0060041A" w:rsidRDefault="005E39AE">
      <w:pPr>
        <w:snapToGrid w:val="0"/>
        <w:spacing w:line="360" w:lineRule="auto"/>
        <w:ind w:firstLineChars="200" w:firstLine="420"/>
        <w:jc w:val="left"/>
        <w:rPr>
          <w:rFonts w:ascii="新宋体" w:eastAsia="新宋体" w:hAnsi="新宋体"/>
          <w:b/>
          <w:sz w:val="21"/>
          <w:szCs w:val="21"/>
        </w:rPr>
      </w:pPr>
      <w:r w:rsidRPr="0060041A">
        <w:rPr>
          <w:rFonts w:ascii="新宋体" w:eastAsia="新宋体" w:hAnsi="新宋体" w:hint="eastAsia"/>
          <w:sz w:val="21"/>
          <w:szCs w:val="21"/>
        </w:rPr>
        <w:t>产品存续期内，为保护客户利益，如遇包括但不限于国家金融政策发生重大调整、金融市场发生重大波动、不可抗力、产品存续规模低于产品最低成立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规则见</w:t>
      </w:r>
      <w:r w:rsidRPr="0060041A">
        <w:rPr>
          <w:rFonts w:ascii="新宋体" w:eastAsia="新宋体" w:hAnsi="新宋体" w:hint="eastAsia"/>
          <w:b/>
          <w:sz w:val="21"/>
          <w:szCs w:val="21"/>
        </w:rPr>
        <w:t>十五、产品到期终止</w:t>
      </w:r>
      <w:r w:rsidRPr="0060041A">
        <w:rPr>
          <w:rFonts w:ascii="新宋体" w:eastAsia="新宋体" w:hAnsi="新宋体" w:hint="eastAsia"/>
          <w:sz w:val="21"/>
          <w:szCs w:val="21"/>
        </w:rPr>
        <w:t>）</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b/>
          <w:kern w:val="0"/>
          <w:sz w:val="21"/>
          <w:szCs w:val="21"/>
        </w:rPr>
        <w:t>9</w:t>
      </w:r>
      <w:r w:rsidRPr="0060041A">
        <w:rPr>
          <w:rFonts w:ascii="新宋体" w:eastAsia="新宋体" w:hAnsi="新宋体" w:cs="宋体" w:hint="eastAsia"/>
          <w:b/>
          <w:kern w:val="0"/>
          <w:sz w:val="21"/>
          <w:szCs w:val="21"/>
        </w:rPr>
        <w:t>.信息传递风险</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hint="eastAsia"/>
          <w:b/>
          <w:kern w:val="0"/>
          <w:sz w:val="21"/>
          <w:szCs w:val="21"/>
        </w:rPr>
        <w:t>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w:t>
      </w:r>
      <w:r w:rsidRPr="0060041A">
        <w:rPr>
          <w:rFonts w:ascii="新宋体" w:eastAsia="新宋体" w:hAnsi="新宋体" w:cs="宋体"/>
          <w:b/>
          <w:kern w:val="0"/>
          <w:sz w:val="21"/>
          <w:szCs w:val="21"/>
        </w:rPr>
        <w:t>/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w:t>
      </w:r>
      <w:r w:rsidRPr="0060041A">
        <w:rPr>
          <w:rFonts w:ascii="新宋体" w:eastAsia="新宋体" w:hAnsi="新宋体" w:cs="宋体" w:hint="eastAsia"/>
          <w:b/>
          <w:kern w:val="0"/>
          <w:sz w:val="21"/>
          <w:szCs w:val="21"/>
        </w:rPr>
        <w:t>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b/>
          <w:kern w:val="0"/>
          <w:sz w:val="21"/>
          <w:szCs w:val="21"/>
        </w:rPr>
      </w:pPr>
      <w:r w:rsidRPr="0060041A">
        <w:rPr>
          <w:rFonts w:ascii="新宋体" w:eastAsia="新宋体" w:hAnsi="新宋体" w:cs="宋体"/>
          <w:b/>
          <w:kern w:val="0"/>
          <w:sz w:val="21"/>
          <w:szCs w:val="21"/>
        </w:rPr>
        <w:t>10</w:t>
      </w:r>
      <w:r w:rsidRPr="0060041A">
        <w:rPr>
          <w:rFonts w:ascii="新宋体" w:eastAsia="新宋体" w:hAnsi="新宋体" w:cs="宋体" w:hint="eastAsia"/>
          <w:b/>
          <w:kern w:val="0"/>
          <w:sz w:val="21"/>
          <w:szCs w:val="21"/>
        </w:rPr>
        <w:t>.不可抗力及意外事件风险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sz w:val="21"/>
          <w:szCs w:val="21"/>
        </w:rPr>
      </w:pPr>
      <w:r w:rsidRPr="0060041A">
        <w:rPr>
          <w:rFonts w:ascii="新宋体" w:eastAsia="新宋体" w:hAnsi="新宋体" w:hint="eastAsia"/>
          <w:sz w:val="21"/>
          <w:szCs w:val="21"/>
        </w:rPr>
        <w:t>不可抗力因素可能导致理财资产收益降低或本金损失，影响理财计划的信息传递、成立、运作、偿还及本金安全。“不可抗力”是指交易各方不能合理控制、不可预见亦无法避免的事件，该事件妨碍、影响或延误任何一方履行其全部或部分权利和义务。该事件包括但不限于自然灾害、战争、骚乱、相关法律法规出台变更及市场环境突变等因素。</w:t>
      </w:r>
    </w:p>
    <w:p w:rsidR="005E39AE" w:rsidRPr="0060041A" w:rsidRDefault="005E39AE">
      <w:pPr>
        <w:autoSpaceDE w:val="0"/>
        <w:autoSpaceDN w:val="0"/>
        <w:adjustRightInd w:val="0"/>
        <w:snapToGrid w:val="0"/>
        <w:spacing w:line="360" w:lineRule="auto"/>
        <w:ind w:firstLineChars="200" w:firstLine="422"/>
        <w:jc w:val="left"/>
        <w:rPr>
          <w:rFonts w:ascii="新宋体" w:eastAsia="新宋体" w:hAnsi="新宋体" w:cs="宋体"/>
          <w:color w:val="auto"/>
          <w:kern w:val="0"/>
          <w:sz w:val="21"/>
          <w:szCs w:val="21"/>
        </w:rPr>
      </w:pPr>
      <w:r w:rsidRPr="0060041A">
        <w:rPr>
          <w:rFonts w:ascii="新宋体" w:eastAsia="新宋体" w:hAnsi="新宋体" w:cs="宋体"/>
          <w:b/>
          <w:color w:val="auto"/>
          <w:kern w:val="0"/>
          <w:sz w:val="21"/>
          <w:szCs w:val="21"/>
        </w:rPr>
        <w:t>以上风险仅为列举性质，详见产品风险揭示书。</w:t>
      </w:r>
    </w:p>
    <w:p w:rsidR="005E39AE" w:rsidRPr="0060041A" w:rsidRDefault="005E39AE">
      <w:pPr>
        <w:snapToGrid w:val="0"/>
        <w:spacing w:line="360" w:lineRule="auto"/>
        <w:ind w:left="397"/>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二、产品概述</w:t>
      </w:r>
    </w:p>
    <w:tbl>
      <w:tblPr>
        <w:tblW w:w="6073" w:type="pct"/>
        <w:tblInd w:w="-10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979"/>
        <w:gridCol w:w="8338"/>
      </w:tblGrid>
      <w:tr w:rsidR="005E39AE" w:rsidRPr="0060041A">
        <w:trPr>
          <w:trHeight w:val="298"/>
        </w:trPr>
        <w:tc>
          <w:tcPr>
            <w:tcW w:w="5000" w:type="pct"/>
            <w:gridSpan w:val="2"/>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本理财计划的青银理财内部风险评级为谨慎型★，适合经青银理财或代理销售机构评估为谨慎型及以上级别</w:t>
            </w:r>
          </w:p>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b/>
                <w:color w:val="auto"/>
                <w:sz w:val="21"/>
                <w:szCs w:val="21"/>
              </w:rPr>
              <w:t>个人与机构投资者购买。上述信息仅供参考。</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产品名称</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023F08" w:rsidP="00E1339B">
            <w:pPr>
              <w:widowControl/>
              <w:jc w:val="left"/>
              <w:rPr>
                <w:rFonts w:ascii="新宋体" w:eastAsia="新宋体" w:hAnsi="新宋体"/>
                <w:color w:val="auto"/>
                <w:kern w:val="0"/>
                <w:sz w:val="21"/>
                <w:szCs w:val="21"/>
              </w:rPr>
            </w:pPr>
            <w:r w:rsidRPr="00023F08">
              <w:rPr>
                <w:rFonts w:ascii="新宋体" w:eastAsia="新宋体" w:hAnsi="新宋体" w:hint="eastAsia"/>
                <w:sz w:val="21"/>
                <w:szCs w:val="21"/>
              </w:rPr>
              <w:t>青银理财璀璨人生奋斗系列开放式净值型人民币理财计划（货币型</w:t>
            </w:r>
            <w:r w:rsidRPr="00023F08">
              <w:rPr>
                <w:rFonts w:ascii="新宋体" w:eastAsia="新宋体" w:hAnsi="新宋体"/>
                <w:sz w:val="21"/>
                <w:szCs w:val="21"/>
              </w:rPr>
              <w:t>V）</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产品简称</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023F08">
            <w:pPr>
              <w:spacing w:line="360" w:lineRule="auto"/>
              <w:jc w:val="left"/>
              <w:rPr>
                <w:rFonts w:ascii="新宋体" w:eastAsia="新宋体" w:hAnsi="新宋体"/>
                <w:color w:val="auto"/>
                <w:sz w:val="21"/>
                <w:szCs w:val="21"/>
              </w:rPr>
            </w:pPr>
            <w:r w:rsidRPr="00023F08">
              <w:rPr>
                <w:rFonts w:ascii="新宋体" w:eastAsia="新宋体" w:hAnsi="新宋体" w:hint="eastAsia"/>
                <w:color w:val="auto"/>
                <w:sz w:val="21"/>
                <w:szCs w:val="21"/>
              </w:rPr>
              <w:t>青银理财天天开薪（奋斗货币</w:t>
            </w:r>
            <w:r w:rsidRPr="00023F08">
              <w:rPr>
                <w:rFonts w:ascii="新宋体" w:eastAsia="新宋体" w:hAnsi="新宋体"/>
                <w:color w:val="auto"/>
                <w:sz w:val="21"/>
                <w:szCs w:val="21"/>
              </w:rPr>
              <w:t>V）</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产品代码</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797ECD" w:rsidP="003D78ED">
            <w:pPr>
              <w:widowControl/>
              <w:jc w:val="left"/>
              <w:rPr>
                <w:rFonts w:ascii="新宋体" w:eastAsia="新宋体" w:hAnsi="新宋体"/>
                <w:kern w:val="0"/>
                <w:sz w:val="21"/>
                <w:szCs w:val="21"/>
              </w:rPr>
            </w:pPr>
            <w:r w:rsidRPr="00797ECD">
              <w:rPr>
                <w:rFonts w:ascii="新宋体" w:eastAsia="新宋体" w:hAnsi="新宋体"/>
                <w:sz w:val="21"/>
                <w:szCs w:val="21"/>
              </w:rPr>
              <w:t>CCRSFDHBXV</w:t>
            </w:r>
          </w:p>
        </w:tc>
      </w:tr>
      <w:tr w:rsidR="00926162"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926162" w:rsidRPr="0060041A" w:rsidRDefault="00926162" w:rsidP="00926162">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份额类型</w:t>
            </w:r>
          </w:p>
        </w:tc>
        <w:tc>
          <w:tcPr>
            <w:tcW w:w="4041" w:type="pct"/>
            <w:tcBorders>
              <w:top w:val="dotted" w:sz="4" w:space="0" w:color="auto"/>
              <w:left w:val="dotted" w:sz="4" w:space="0" w:color="auto"/>
              <w:bottom w:val="dotted" w:sz="4" w:space="0" w:color="auto"/>
              <w:right w:val="dotted" w:sz="4" w:space="0" w:color="auto"/>
            </w:tcBorders>
            <w:vAlign w:val="center"/>
          </w:tcPr>
          <w:p w:rsidR="00926162" w:rsidRPr="0060041A" w:rsidRDefault="00926162" w:rsidP="00926162">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本产品根据投资者购买理财产品的金额、适合的投资者、销售机构等因素，对投资者所持有的理财产品份额设置不同的理财产品份额类别。</w:t>
            </w:r>
          </w:p>
          <w:p w:rsidR="00926162" w:rsidRPr="0060041A" w:rsidRDefault="00926162" w:rsidP="00926162">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本产品设置不同的理财产品份额，每类份额以下内容可能单独设置：</w:t>
            </w:r>
          </w:p>
          <w:p w:rsidR="00926162" w:rsidRPr="0060041A" w:rsidRDefault="00926162" w:rsidP="00926162">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产品销售代码、产品销售名称、产品销售对象、认购</w:t>
            </w:r>
            <w:r w:rsidRPr="0060041A">
              <w:rPr>
                <w:rFonts w:ascii="新宋体" w:eastAsia="新宋体" w:hAnsi="新宋体"/>
                <w:color w:val="auto"/>
                <w:sz w:val="21"/>
                <w:szCs w:val="21"/>
              </w:rPr>
              <w:t>/申购投资起点金额及递增金额、业绩比较基准、固定管理费率、销售手续费率（如有）、业绩报酬分成比例、收费方式、单一投资者持有限额、产品规模上限等，并分别计算和公告产品份额净值。投资者可根据实际情况自行选择认购的产品份额类别。</w:t>
            </w:r>
          </w:p>
          <w:p w:rsidR="00926162" w:rsidRDefault="00926162" w:rsidP="00926162">
            <w:pPr>
              <w:spacing w:line="360" w:lineRule="auto"/>
              <w:jc w:val="left"/>
              <w:rPr>
                <w:rFonts w:ascii="新宋体" w:eastAsia="新宋体" w:hAnsi="新宋体"/>
                <w:color w:val="auto"/>
                <w:sz w:val="21"/>
                <w:szCs w:val="21"/>
              </w:rPr>
            </w:pPr>
            <w:r w:rsidRPr="0060041A">
              <w:rPr>
                <w:rFonts w:ascii="新宋体" w:eastAsia="新宋体" w:hAnsi="新宋体"/>
                <w:color w:val="auto"/>
                <w:sz w:val="21"/>
                <w:szCs w:val="21"/>
              </w:rPr>
              <w:t>A份额，销售代码【</w:t>
            </w:r>
            <w:r w:rsidR="00774652" w:rsidRPr="00774652">
              <w:rPr>
                <w:rFonts w:ascii="新宋体" w:eastAsia="新宋体" w:hAnsi="新宋体"/>
                <w:color w:val="auto"/>
                <w:sz w:val="21"/>
                <w:szCs w:val="21"/>
              </w:rPr>
              <w:t>CCRSFDHBXVA</w:t>
            </w:r>
            <w:r w:rsidRPr="0060041A">
              <w:rPr>
                <w:rFonts w:ascii="新宋体" w:eastAsia="新宋体" w:hAnsi="新宋体"/>
                <w:color w:val="auto"/>
                <w:sz w:val="21"/>
                <w:szCs w:val="21"/>
              </w:rPr>
              <w:t>】，销售名称：</w:t>
            </w:r>
            <w:r w:rsidR="00774652" w:rsidRPr="00774652">
              <w:rPr>
                <w:rFonts w:ascii="新宋体" w:eastAsia="新宋体" w:hAnsi="新宋体" w:hint="eastAsia"/>
                <w:color w:val="auto"/>
                <w:sz w:val="21"/>
                <w:szCs w:val="21"/>
              </w:rPr>
              <w:t>青银理财天天开薪（奋斗货币</w:t>
            </w:r>
            <w:r w:rsidR="00774652" w:rsidRPr="00774652">
              <w:rPr>
                <w:rFonts w:ascii="新宋体" w:eastAsia="新宋体" w:hAnsi="新宋体"/>
                <w:color w:val="auto"/>
                <w:sz w:val="21"/>
                <w:szCs w:val="21"/>
              </w:rPr>
              <w:t>V）A份额</w:t>
            </w:r>
            <w:r w:rsidR="00ED3558">
              <w:rPr>
                <w:rFonts w:ascii="新宋体" w:eastAsia="新宋体" w:hAnsi="新宋体" w:hint="eastAsia"/>
                <w:color w:val="auto"/>
                <w:sz w:val="21"/>
                <w:szCs w:val="21"/>
              </w:rPr>
              <w:t>，</w:t>
            </w:r>
            <w:r w:rsidRPr="0060041A">
              <w:rPr>
                <w:rFonts w:ascii="新宋体" w:eastAsia="新宋体" w:hAnsi="新宋体"/>
                <w:color w:val="auto"/>
                <w:sz w:val="21"/>
                <w:szCs w:val="21"/>
              </w:rPr>
              <w:t>销售对象【</w:t>
            </w:r>
            <w:r w:rsidR="00EE70D3" w:rsidRPr="00EE70D3">
              <w:rPr>
                <w:rFonts w:ascii="新宋体" w:eastAsia="新宋体" w:hAnsi="新宋体" w:hint="eastAsia"/>
                <w:color w:val="auto"/>
                <w:sz w:val="21"/>
                <w:szCs w:val="21"/>
              </w:rPr>
              <w:t>青岛银行及各销售服务渠道个人及机构客户，具体客户类型以销售机构规定为准</w:t>
            </w:r>
            <w:r w:rsidRPr="0060041A">
              <w:rPr>
                <w:rFonts w:ascii="新宋体" w:eastAsia="新宋体" w:hAnsi="新宋体"/>
                <w:color w:val="auto"/>
                <w:sz w:val="21"/>
                <w:szCs w:val="21"/>
              </w:rPr>
              <w:t>】</w:t>
            </w:r>
          </w:p>
          <w:p w:rsidR="00926162" w:rsidRPr="0060041A" w:rsidRDefault="00926162" w:rsidP="00926162">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如理财产品份额类型有新增、减少和变更，青银理财将按照本理财产品说明书中有关“信息披露”的约定告知投资者。</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理财信息登记系统</w:t>
            </w:r>
          </w:p>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产品登记编码</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0C0F96" w:rsidP="000C0F96">
            <w:pPr>
              <w:spacing w:line="360" w:lineRule="auto"/>
              <w:jc w:val="left"/>
              <w:rPr>
                <w:rFonts w:ascii="新宋体" w:eastAsia="新宋体" w:hAnsi="新宋体"/>
                <w:color w:val="auto"/>
                <w:sz w:val="21"/>
                <w:szCs w:val="21"/>
              </w:rPr>
            </w:pPr>
            <w:r w:rsidRPr="000C0F96">
              <w:rPr>
                <w:rFonts w:ascii="新宋体" w:eastAsia="新宋体" w:hAnsi="新宋体"/>
                <w:color w:val="auto"/>
                <w:sz w:val="21"/>
                <w:szCs w:val="21"/>
              </w:rPr>
              <w:t>Z7003525000683</w:t>
            </w:r>
            <w:r w:rsidR="005E39AE" w:rsidRPr="0060041A">
              <w:rPr>
                <w:rFonts w:ascii="新宋体" w:eastAsia="新宋体" w:hAnsi="新宋体" w:hint="eastAsia"/>
                <w:color w:val="auto"/>
                <w:sz w:val="21"/>
                <w:szCs w:val="21"/>
              </w:rPr>
              <w:t>，投资者可依据该编码在“中国理财网”（www.chinawealth.com.cn）查询产品信息</w:t>
            </w:r>
          </w:p>
        </w:tc>
      </w:tr>
      <w:tr w:rsidR="005E39AE" w:rsidRPr="0060041A">
        <w:trPr>
          <w:trHeight w:val="369"/>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产品类型</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hAnsi="新宋体" w:hint="eastAsia"/>
                <w:b/>
                <w:color w:val="auto"/>
                <w:sz w:val="21"/>
                <w:szCs w:val="21"/>
              </w:rPr>
              <w:t>非保本，开放式，净值型，公募，现金管理类</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本金/收益币种</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人民币</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销售服务机构</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青银理财及符合《理财公司理财产品销售管理暂行办法》和国家金融监督管理总局（原银保监会）规定，办理理财产品销售业务的机构。</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销售服务机构负责包括理财计划宣传推广、投资者风险承受能力评估和投资者适当性管理、理财计划份额认购/申购</w:t>
            </w:r>
            <w:r w:rsidRPr="0060041A">
              <w:rPr>
                <w:rFonts w:ascii="新宋体" w:eastAsia="新宋体" w:hAnsi="新宋体"/>
                <w:color w:val="auto"/>
                <w:sz w:val="21"/>
                <w:szCs w:val="21"/>
              </w:rPr>
              <w:t>/赎回、协助管理人与投资者订立理财计划合同、协助投资者与管理人沟通、接受投资者咨询和客户维护等销售服务。</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产品募集期</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ED3558" w:rsidP="003070FD">
            <w:pPr>
              <w:spacing w:line="360" w:lineRule="auto"/>
              <w:jc w:val="left"/>
              <w:rPr>
                <w:rFonts w:ascii="新宋体" w:eastAsia="新宋体" w:hAnsi="新宋体"/>
                <w:color w:val="auto"/>
                <w:sz w:val="21"/>
                <w:szCs w:val="21"/>
              </w:rPr>
            </w:pPr>
            <w:r w:rsidRPr="00ED3558">
              <w:rPr>
                <w:rFonts w:ascii="新宋体" w:eastAsia="新宋体" w:hAnsi="新宋体"/>
                <w:color w:val="auto"/>
                <w:sz w:val="21"/>
                <w:szCs w:val="21"/>
              </w:rPr>
              <w:t>2025年</w:t>
            </w:r>
            <w:r w:rsidR="003070FD">
              <w:rPr>
                <w:rFonts w:ascii="新宋体" w:eastAsia="新宋体" w:hAnsi="新宋体"/>
                <w:color w:val="auto"/>
                <w:sz w:val="21"/>
                <w:szCs w:val="21"/>
              </w:rPr>
              <w:t>12</w:t>
            </w:r>
            <w:r w:rsidRPr="00ED3558">
              <w:rPr>
                <w:rFonts w:ascii="新宋体" w:eastAsia="新宋体" w:hAnsi="新宋体"/>
                <w:color w:val="auto"/>
                <w:sz w:val="21"/>
                <w:szCs w:val="21"/>
              </w:rPr>
              <w:t>月</w:t>
            </w:r>
            <w:r w:rsidR="003070FD">
              <w:rPr>
                <w:rFonts w:ascii="新宋体" w:eastAsia="新宋体" w:hAnsi="新宋体"/>
                <w:color w:val="auto"/>
                <w:sz w:val="21"/>
                <w:szCs w:val="21"/>
              </w:rPr>
              <w:t>17</w:t>
            </w:r>
            <w:r w:rsidRPr="00ED3558">
              <w:rPr>
                <w:rFonts w:ascii="新宋体" w:eastAsia="新宋体" w:hAnsi="新宋体"/>
                <w:color w:val="auto"/>
                <w:sz w:val="21"/>
                <w:szCs w:val="21"/>
              </w:rPr>
              <w:t>日 9:00 —2025年</w:t>
            </w:r>
            <w:r w:rsidR="003070FD" w:rsidRPr="003070FD">
              <w:rPr>
                <w:rFonts w:ascii="新宋体" w:eastAsia="新宋体" w:hAnsi="新宋体"/>
                <w:color w:val="auto"/>
                <w:sz w:val="21"/>
                <w:szCs w:val="21"/>
              </w:rPr>
              <w:t>12月17日</w:t>
            </w:r>
            <w:r w:rsidR="001A4C4C">
              <w:rPr>
                <w:rFonts w:ascii="新宋体" w:eastAsia="新宋体" w:hAnsi="新宋体" w:hint="eastAsia"/>
                <w:color w:val="auto"/>
                <w:sz w:val="21"/>
                <w:szCs w:val="21"/>
              </w:rPr>
              <w:t>15:30</w:t>
            </w:r>
            <w:r w:rsidR="005E39AE" w:rsidRPr="0060041A">
              <w:rPr>
                <w:rFonts w:ascii="新宋体" w:eastAsia="新宋体" w:hAnsi="新宋体" w:hint="eastAsia"/>
                <w:color w:val="auto"/>
                <w:sz w:val="21"/>
                <w:szCs w:val="21"/>
              </w:rPr>
              <w:t>（含）。募集期内的购买申请将于产品成立日扣款确认。募集期内的购买申请仅可在募集期内撤销。</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产品成立日</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ED3558" w:rsidP="003070F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2025</w:t>
            </w:r>
            <w:r>
              <w:rPr>
                <w:rFonts w:ascii="新宋体" w:eastAsia="新宋体" w:hAnsi="新宋体" w:hint="eastAsia"/>
                <w:color w:val="auto"/>
                <w:sz w:val="21"/>
                <w:szCs w:val="21"/>
              </w:rPr>
              <w:t>年</w:t>
            </w:r>
            <w:r w:rsidR="003070FD">
              <w:rPr>
                <w:rFonts w:ascii="新宋体" w:eastAsia="新宋体" w:hAnsi="新宋体"/>
                <w:color w:val="auto"/>
                <w:sz w:val="21"/>
                <w:szCs w:val="21"/>
              </w:rPr>
              <w:t>12</w:t>
            </w:r>
            <w:r>
              <w:rPr>
                <w:rFonts w:ascii="新宋体" w:eastAsia="新宋体" w:hAnsi="新宋体" w:hint="eastAsia"/>
                <w:color w:val="auto"/>
                <w:sz w:val="21"/>
                <w:szCs w:val="21"/>
              </w:rPr>
              <w:t>月</w:t>
            </w:r>
            <w:r w:rsidR="003070FD">
              <w:rPr>
                <w:rFonts w:ascii="新宋体" w:eastAsia="新宋体" w:hAnsi="新宋体"/>
                <w:color w:val="auto"/>
                <w:sz w:val="21"/>
                <w:szCs w:val="21"/>
              </w:rPr>
              <w:t>18</w:t>
            </w:r>
            <w:r>
              <w:rPr>
                <w:rFonts w:ascii="新宋体" w:eastAsia="新宋体" w:hAnsi="新宋体" w:hint="eastAsia"/>
                <w:color w:val="auto"/>
                <w:sz w:val="21"/>
                <w:szCs w:val="21"/>
              </w:rPr>
              <w:t>日</w:t>
            </w:r>
            <w:r w:rsidR="005E39AE" w:rsidRPr="0060041A">
              <w:rPr>
                <w:rFonts w:ascii="新宋体" w:eastAsia="新宋体" w:hAnsi="新宋体" w:hint="eastAsia"/>
                <w:color w:val="auto"/>
                <w:sz w:val="21"/>
                <w:szCs w:val="21"/>
              </w:rPr>
              <w:t>。本理财计划自成立日起起息运作，并进入产品开放期。</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产品到期日</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ED3558" w:rsidP="003070FD">
            <w:pPr>
              <w:spacing w:line="360" w:lineRule="auto"/>
              <w:jc w:val="left"/>
              <w:rPr>
                <w:rFonts w:ascii="新宋体" w:eastAsia="新宋体" w:hAnsi="新宋体"/>
                <w:color w:val="auto"/>
                <w:sz w:val="21"/>
                <w:szCs w:val="21"/>
              </w:rPr>
            </w:pPr>
            <w:r w:rsidRPr="004C0FE2">
              <w:rPr>
                <w:rFonts w:ascii="新宋体" w:eastAsia="新宋体" w:hAnsi="新宋体"/>
                <w:color w:val="auto"/>
                <w:sz w:val="21"/>
                <w:szCs w:val="21"/>
              </w:rPr>
              <w:t>2035年</w:t>
            </w:r>
            <w:r w:rsidR="003070FD">
              <w:rPr>
                <w:rFonts w:ascii="新宋体" w:eastAsia="新宋体" w:hAnsi="新宋体"/>
                <w:color w:val="auto"/>
                <w:sz w:val="21"/>
                <w:szCs w:val="21"/>
              </w:rPr>
              <w:t>12</w:t>
            </w:r>
            <w:r w:rsidRPr="004C0FE2">
              <w:rPr>
                <w:rFonts w:ascii="新宋体" w:eastAsia="新宋体" w:hAnsi="新宋体"/>
                <w:color w:val="auto"/>
                <w:sz w:val="21"/>
                <w:szCs w:val="21"/>
              </w:rPr>
              <w:t>月</w:t>
            </w:r>
            <w:r w:rsidR="003070FD">
              <w:rPr>
                <w:rFonts w:ascii="新宋体" w:eastAsia="新宋体" w:hAnsi="新宋体"/>
                <w:color w:val="auto"/>
                <w:sz w:val="21"/>
                <w:szCs w:val="21"/>
              </w:rPr>
              <w:t>13</w:t>
            </w:r>
            <w:r w:rsidRPr="004C0FE2">
              <w:rPr>
                <w:rFonts w:ascii="新宋体" w:eastAsia="新宋体" w:hAnsi="新宋体"/>
                <w:color w:val="auto"/>
                <w:sz w:val="21"/>
                <w:szCs w:val="21"/>
              </w:rPr>
              <w:t>日</w:t>
            </w:r>
            <w:r w:rsidR="005E39AE" w:rsidRPr="0060041A">
              <w:rPr>
                <w:rFonts w:ascii="新宋体" w:eastAsia="新宋体" w:hAnsi="新宋体" w:hint="eastAsia"/>
                <w:color w:val="auto"/>
                <w:sz w:val="21"/>
                <w:szCs w:val="21"/>
              </w:rPr>
              <w:t>。如青银理财提前（延期）终止本理财计划，则产品到期日为提前（延期）终止日，产品到期日以届时青银理财公告信息为准。产品到期日当天暂停交易。</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工作日及时间</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本协议中的工作日指除国家法定节假日、公休日以外的其他日。</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本协议中的时间均指北京时间。</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交易日</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指上海证券交易所、深圳证券交易所及全国银行间债券市场同时开放交易的工作日。</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开放日</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产品存续期间，每个工作日为开放日，管理人仅在开放日的有效交易时间对投资者的申购、赎回申请进行确认。但管理人根据法律法规、监管规则的规定或本理财产品销售文件约定，对本理财产品封闭期或临时公告暂停申购、赎回的情形除外。</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产品规模上限</w:t>
            </w:r>
          </w:p>
        </w:tc>
        <w:tc>
          <w:tcPr>
            <w:tcW w:w="4041" w:type="pct"/>
            <w:tcBorders>
              <w:top w:val="dotted" w:sz="4" w:space="0" w:color="auto"/>
              <w:left w:val="dotted" w:sz="4" w:space="0" w:color="auto"/>
              <w:bottom w:val="dotted" w:sz="4" w:space="0" w:color="auto"/>
              <w:right w:val="dotted" w:sz="4" w:space="0" w:color="auto"/>
            </w:tcBorders>
            <w:vAlign w:val="center"/>
          </w:tcPr>
          <w:p w:rsidR="00B941B5" w:rsidRDefault="00E46632" w:rsidP="00B941B5">
            <w:pPr>
              <w:spacing w:line="360" w:lineRule="auto"/>
              <w:jc w:val="left"/>
              <w:rPr>
                <w:rFonts w:ascii="新宋体" w:eastAsia="新宋体" w:hAnsi="新宋体"/>
                <w:color w:val="auto"/>
                <w:sz w:val="21"/>
                <w:szCs w:val="21"/>
              </w:rPr>
            </w:pPr>
            <w:r w:rsidRPr="0060041A">
              <w:rPr>
                <w:rFonts w:ascii="新宋体" w:eastAsia="新宋体" w:hAnsi="新宋体"/>
                <w:color w:val="auto"/>
                <w:sz w:val="21"/>
                <w:szCs w:val="21"/>
              </w:rPr>
              <w:t>A</w:t>
            </w:r>
            <w:r w:rsidRPr="0060041A">
              <w:rPr>
                <w:rFonts w:ascii="新宋体" w:eastAsia="新宋体" w:hAnsi="新宋体" w:hint="eastAsia"/>
                <w:color w:val="auto"/>
                <w:sz w:val="21"/>
                <w:szCs w:val="21"/>
              </w:rPr>
              <w:t>份额规模上限</w:t>
            </w:r>
            <w:r w:rsidR="00BB1BAF">
              <w:rPr>
                <w:rFonts w:ascii="新宋体" w:eastAsia="新宋体" w:hAnsi="新宋体"/>
                <w:color w:val="auto"/>
                <w:sz w:val="21"/>
                <w:szCs w:val="21"/>
              </w:rPr>
              <w:t>2</w:t>
            </w:r>
            <w:r w:rsidR="0015705B">
              <w:rPr>
                <w:rFonts w:ascii="新宋体" w:eastAsia="新宋体" w:hAnsi="新宋体"/>
                <w:color w:val="auto"/>
                <w:sz w:val="21"/>
                <w:szCs w:val="21"/>
              </w:rPr>
              <w:t>00</w:t>
            </w:r>
            <w:r w:rsidRPr="0060041A">
              <w:rPr>
                <w:rFonts w:ascii="新宋体" w:eastAsia="新宋体" w:hAnsi="新宋体" w:hint="eastAsia"/>
                <w:color w:val="auto"/>
                <w:sz w:val="21"/>
                <w:szCs w:val="21"/>
              </w:rPr>
              <w:t>亿</w:t>
            </w:r>
            <w:r w:rsidR="00B941B5">
              <w:rPr>
                <w:rFonts w:ascii="新宋体" w:eastAsia="新宋体" w:hAnsi="新宋体" w:hint="eastAsia"/>
                <w:color w:val="auto"/>
                <w:sz w:val="21"/>
                <w:szCs w:val="21"/>
              </w:rPr>
              <w:t>。</w:t>
            </w:r>
          </w:p>
          <w:p w:rsidR="005E39AE" w:rsidRPr="0060041A" w:rsidRDefault="005E39AE" w:rsidP="00B941B5">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如需调整规模上限，青银理财将最迟提前</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个工作日发布公告。</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单户投资上限</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B941B5">
            <w:pPr>
              <w:spacing w:line="360" w:lineRule="auto"/>
              <w:jc w:val="left"/>
              <w:rPr>
                <w:rFonts w:ascii="新宋体" w:eastAsia="新宋体" w:hAnsi="新宋体"/>
                <w:color w:val="auto"/>
                <w:sz w:val="21"/>
                <w:szCs w:val="21"/>
              </w:rPr>
            </w:pPr>
            <w:r w:rsidRPr="00B941B5">
              <w:rPr>
                <w:rFonts w:ascii="新宋体" w:eastAsia="新宋体" w:hAnsi="新宋体" w:hint="eastAsia"/>
                <w:color w:val="auto"/>
                <w:sz w:val="21"/>
                <w:szCs w:val="21"/>
              </w:rPr>
              <w:t>个人客户</w:t>
            </w:r>
            <w:r w:rsidRPr="00B941B5">
              <w:rPr>
                <w:rFonts w:ascii="新宋体" w:eastAsia="新宋体" w:hAnsi="新宋体"/>
                <w:color w:val="auto"/>
                <w:sz w:val="21"/>
                <w:szCs w:val="21"/>
              </w:rPr>
              <w:t>2000万、机构客户无上限</w:t>
            </w:r>
            <w:r w:rsidR="005E39AE" w:rsidRPr="0060041A">
              <w:rPr>
                <w:rFonts w:ascii="新宋体" w:eastAsia="新宋体" w:hAnsi="新宋体" w:hint="eastAsia"/>
                <w:color w:val="auto"/>
                <w:sz w:val="21"/>
                <w:szCs w:val="21"/>
              </w:rPr>
              <w:t>（同时受产品规模上限规则约束），同时单一投资者持有份额不得超过产品总份额的50%。非因管理人主观因素导致突破上述比例限制的，在单一投资者持有比例降至</w:t>
            </w:r>
            <w:r w:rsidR="005E39AE" w:rsidRPr="0060041A">
              <w:rPr>
                <w:rFonts w:ascii="新宋体" w:eastAsia="新宋体" w:hAnsi="新宋体"/>
                <w:color w:val="auto"/>
                <w:sz w:val="21"/>
                <w:szCs w:val="21"/>
              </w:rPr>
              <w:t>50%以下之前，</w:t>
            </w:r>
            <w:r w:rsidR="005E39AE" w:rsidRPr="0060041A">
              <w:rPr>
                <w:rFonts w:ascii="新宋体" w:eastAsia="新宋体" w:hAnsi="新宋体" w:hint="eastAsia"/>
                <w:color w:val="auto"/>
                <w:sz w:val="21"/>
                <w:szCs w:val="21"/>
              </w:rPr>
              <w:t>管理人</w:t>
            </w:r>
            <w:r w:rsidR="005E39AE" w:rsidRPr="0060041A">
              <w:rPr>
                <w:rFonts w:ascii="新宋体" w:eastAsia="新宋体" w:hAnsi="新宋体"/>
                <w:color w:val="auto"/>
                <w:sz w:val="21"/>
                <w:szCs w:val="21"/>
              </w:rPr>
              <w:t>不再接受该投资者对</w:t>
            </w:r>
            <w:r w:rsidR="005E39AE" w:rsidRPr="0060041A">
              <w:rPr>
                <w:rFonts w:ascii="新宋体" w:eastAsia="新宋体" w:hAnsi="新宋体" w:hint="eastAsia"/>
                <w:color w:val="auto"/>
                <w:sz w:val="21"/>
                <w:szCs w:val="21"/>
              </w:rPr>
              <w:t>本</w:t>
            </w:r>
            <w:r w:rsidR="005E39AE" w:rsidRPr="0060041A">
              <w:rPr>
                <w:rFonts w:ascii="新宋体" w:eastAsia="新宋体" w:hAnsi="新宋体"/>
                <w:color w:val="auto"/>
                <w:sz w:val="21"/>
                <w:szCs w:val="21"/>
              </w:rPr>
              <w:t>理财产品的</w:t>
            </w:r>
            <w:r w:rsidR="005E39AE" w:rsidRPr="0060041A">
              <w:rPr>
                <w:rFonts w:ascii="新宋体" w:eastAsia="新宋体" w:hAnsi="新宋体" w:hint="eastAsia"/>
                <w:color w:val="auto"/>
                <w:sz w:val="21"/>
                <w:szCs w:val="21"/>
              </w:rPr>
              <w:t>购买</w:t>
            </w:r>
            <w:r w:rsidR="005E39AE" w:rsidRPr="0060041A">
              <w:rPr>
                <w:rFonts w:ascii="新宋体" w:eastAsia="新宋体" w:hAnsi="新宋体"/>
                <w:color w:val="auto"/>
                <w:sz w:val="21"/>
                <w:szCs w:val="21"/>
              </w:rPr>
              <w:t>申请。</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购买金额</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1.首次购1元起，</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元整数倍递增，全部赎回成功后再次购买视为首次购买</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2.</w:t>
            </w:r>
            <w:r w:rsidRPr="0060041A">
              <w:rPr>
                <w:rFonts w:ascii="新宋体" w:eastAsia="新宋体" w:hAnsi="新宋体" w:hint="eastAsia"/>
                <w:b/>
                <w:color w:val="auto"/>
                <w:sz w:val="21"/>
                <w:szCs w:val="21"/>
              </w:rPr>
              <w:t>如投资者购买申请触发该产品规模上限控制，则购买申请将被拒绝</w:t>
            </w:r>
            <w:r w:rsidRPr="0060041A">
              <w:rPr>
                <w:rFonts w:ascii="新宋体" w:eastAsia="新宋体" w:hAnsi="新宋体" w:hint="eastAsia"/>
                <w:color w:val="auto"/>
                <w:sz w:val="21"/>
                <w:szCs w:val="21"/>
              </w:rPr>
              <w:t>。</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赎回份额</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A53F82">
            <w:pPr>
              <w:spacing w:line="360" w:lineRule="auto"/>
              <w:rPr>
                <w:rFonts w:ascii="新宋体" w:eastAsia="新宋体" w:hAnsi="新宋体"/>
                <w:b/>
                <w:color w:val="auto"/>
                <w:sz w:val="21"/>
                <w:szCs w:val="21"/>
              </w:rPr>
            </w:pPr>
            <w:r>
              <w:rPr>
                <w:rFonts w:ascii="新宋体" w:eastAsia="新宋体" w:hAnsi="新宋体"/>
                <w:color w:val="auto"/>
                <w:sz w:val="21"/>
                <w:szCs w:val="21"/>
              </w:rPr>
              <w:t>0.0</w:t>
            </w:r>
            <w:r w:rsidR="005E39AE" w:rsidRPr="0060041A">
              <w:rPr>
                <w:rFonts w:ascii="新宋体" w:eastAsia="新宋体" w:hAnsi="新宋体"/>
                <w:color w:val="auto"/>
                <w:sz w:val="21"/>
                <w:szCs w:val="21"/>
              </w:rPr>
              <w:t>1</w:t>
            </w:r>
            <w:r w:rsidR="005E39AE" w:rsidRPr="0060041A">
              <w:rPr>
                <w:rFonts w:ascii="新宋体" w:eastAsia="新宋体" w:hAnsi="新宋体" w:hint="eastAsia"/>
                <w:color w:val="auto"/>
                <w:sz w:val="21"/>
                <w:szCs w:val="21"/>
              </w:rPr>
              <w:t>份的整数倍（全部赎回无限制）</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最低持有份额</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rsidP="008A1973">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部分赎回后持有本理财份额不得低于</w:t>
            </w:r>
            <w:r w:rsidR="00A53F82">
              <w:rPr>
                <w:rFonts w:ascii="新宋体" w:eastAsia="新宋体" w:hAnsi="新宋体" w:hint="eastAsia"/>
                <w:color w:val="auto"/>
                <w:sz w:val="21"/>
                <w:szCs w:val="21"/>
              </w:rPr>
              <w:t>0</w:t>
            </w:r>
            <w:r w:rsidR="00A53F82">
              <w:rPr>
                <w:rFonts w:ascii="新宋体" w:eastAsia="新宋体" w:hAnsi="新宋体"/>
                <w:color w:val="auto"/>
                <w:sz w:val="21"/>
                <w:szCs w:val="21"/>
              </w:rPr>
              <w:t>.0</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份（全部赎回无限制）</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单位净值</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本产品的单位净值始终为1元/份，</w:t>
            </w:r>
            <w:r w:rsidRPr="0060041A">
              <w:rPr>
                <w:rFonts w:ascii="新宋体" w:eastAsia="新宋体" w:hAnsi="新宋体"/>
                <w:color w:val="auto"/>
                <w:sz w:val="21"/>
                <w:szCs w:val="21"/>
              </w:rPr>
              <w:t>客户</w:t>
            </w:r>
            <w:r w:rsidRPr="0060041A">
              <w:rPr>
                <w:rFonts w:ascii="新宋体" w:eastAsia="新宋体" w:hAnsi="新宋体" w:hint="eastAsia"/>
                <w:color w:val="auto"/>
                <w:sz w:val="21"/>
                <w:szCs w:val="21"/>
              </w:rPr>
              <w:t>购买、赎回本理财计划均按该净值确认处理。</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有效交易时间</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hAnsi="新宋体" w:hint="eastAsia"/>
                <w:color w:val="auto"/>
                <w:sz w:val="21"/>
                <w:szCs w:val="21"/>
              </w:rPr>
              <w:t>工作日9:00—</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w:t>
            </w:r>
            <w:r w:rsidRPr="0060041A">
              <w:rPr>
                <w:rFonts w:ascii="新宋体" w:eastAsia="新宋体" w:hAnsi="新宋体" w:hint="eastAsia"/>
                <w:b/>
                <w:color w:val="auto"/>
                <w:sz w:val="21"/>
                <w:szCs w:val="21"/>
              </w:rPr>
              <w:t>如系统批量清算提前完成，开始时间可能早于9:00</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注：关于销售服务机构的实际工作服务时间的提示</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为本产品办理相关交易的实际服务时间，因销售服务机构的不同可能存在差异（可能晚于销售文件约定的起始时点开始或早于销售文件约定的终止时点结束），投资者应当以销售服务机构的展示为准。</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开放期</w:t>
            </w:r>
          </w:p>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购买及确认</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1.本理财产品存续期内，每日0：0</w:t>
            </w:r>
            <w:r w:rsidRPr="0060041A">
              <w:rPr>
                <w:rFonts w:ascii="新宋体" w:eastAsia="新宋体" w:hAnsi="新宋体"/>
                <w:color w:val="auto"/>
                <w:sz w:val="21"/>
                <w:szCs w:val="21"/>
              </w:rPr>
              <w:t>0</w:t>
            </w:r>
            <w:r w:rsidRPr="0060041A">
              <w:rPr>
                <w:rFonts w:ascii="新宋体" w:eastAsia="新宋体" w:hAnsi="新宋体" w:hint="eastAsia"/>
                <w:color w:val="auto"/>
                <w:sz w:val="21"/>
                <w:szCs w:val="21"/>
              </w:rPr>
              <w:t>至2</w:t>
            </w:r>
            <w:r w:rsidRPr="0060041A">
              <w:rPr>
                <w:rFonts w:ascii="新宋体" w:eastAsia="新宋体" w:hAnsi="新宋体"/>
                <w:color w:val="auto"/>
                <w:sz w:val="21"/>
                <w:szCs w:val="21"/>
              </w:rPr>
              <w:t>4</w:t>
            </w:r>
            <w:r w:rsidRPr="0060041A">
              <w:rPr>
                <w:rFonts w:ascii="新宋体" w:eastAsia="新宋体" w:hAnsi="新宋体" w:hint="eastAsia"/>
                <w:color w:val="auto"/>
                <w:sz w:val="21"/>
                <w:szCs w:val="21"/>
              </w:rPr>
              <w:t>：0</w:t>
            </w:r>
            <w:r w:rsidRPr="0060041A">
              <w:rPr>
                <w:rFonts w:ascii="新宋体" w:eastAsia="新宋体" w:hAnsi="新宋体"/>
                <w:color w:val="auto"/>
                <w:sz w:val="21"/>
                <w:szCs w:val="21"/>
              </w:rPr>
              <w:t>0</w:t>
            </w:r>
            <w:r w:rsidRPr="0060041A">
              <w:rPr>
                <w:rFonts w:ascii="新宋体" w:eastAsia="新宋体" w:hAnsi="新宋体" w:hint="eastAsia"/>
                <w:color w:val="auto"/>
                <w:sz w:val="21"/>
                <w:szCs w:val="21"/>
              </w:rPr>
              <w:t>（含）为理财产品的开放期。投资者可在开放期提交购买申请。</w:t>
            </w:r>
            <w:r w:rsidRPr="0060041A">
              <w:rPr>
                <w:rFonts w:ascii="新宋体" w:eastAsia="新宋体" w:hAnsi="新宋体" w:hint="eastAsia"/>
                <w:b/>
                <w:color w:val="auto"/>
                <w:sz w:val="21"/>
                <w:szCs w:val="21"/>
              </w:rPr>
              <w:t>（早晚系统批量清算期间无法交易）</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2.T日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w:t>
            </w:r>
            <w:r w:rsidRPr="0060041A">
              <w:rPr>
                <w:rFonts w:ascii="新宋体" w:eastAsia="新宋体" w:hAnsi="新宋体"/>
                <w:color w:val="auto"/>
                <w:sz w:val="21"/>
                <w:szCs w:val="21"/>
              </w:rPr>
              <w:t>购买，</w:t>
            </w:r>
            <w:r w:rsidRPr="0060041A">
              <w:rPr>
                <w:rFonts w:ascii="新宋体" w:eastAsia="新宋体" w:hAnsi="新宋体" w:hint="eastAsia"/>
                <w:color w:val="auto"/>
                <w:sz w:val="21"/>
                <w:szCs w:val="21"/>
              </w:rPr>
              <w:t>购买资金实时冻结（具体以各销售服务机构规则为准），青银理财将在T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日对该笔购买申请进行确认并开始计算收益，若处理失败（如扣款失败等）则理财购买失败</w:t>
            </w:r>
            <w:r w:rsidRPr="0060041A">
              <w:rPr>
                <w:rFonts w:ascii="新宋体" w:eastAsia="新宋体" w:hAnsi="新宋体"/>
                <w:color w:val="auto"/>
                <w:sz w:val="21"/>
                <w:szCs w:val="21"/>
              </w:rPr>
              <w:t>。</w:t>
            </w:r>
          </w:p>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hAnsi="新宋体" w:hint="eastAsia"/>
                <w:color w:val="auto"/>
                <w:sz w:val="21"/>
                <w:szCs w:val="21"/>
              </w:rPr>
              <w:t>3.</w:t>
            </w:r>
            <w:r w:rsidRPr="0060041A">
              <w:rPr>
                <w:rFonts w:ascii="新宋体" w:eastAsia="新宋体" w:hAnsi="新宋体" w:hint="eastAsia"/>
                <w:b/>
                <w:color w:val="auto"/>
                <w:sz w:val="21"/>
                <w:szCs w:val="21"/>
              </w:rPr>
              <w:t>T日</w:t>
            </w:r>
            <w:r w:rsidR="001A4C4C">
              <w:rPr>
                <w:rFonts w:ascii="新宋体" w:eastAsia="新宋体" w:hAnsi="新宋体" w:hint="eastAsia"/>
                <w:b/>
                <w:color w:val="auto"/>
                <w:sz w:val="21"/>
                <w:szCs w:val="21"/>
              </w:rPr>
              <w:t>15:30</w:t>
            </w:r>
            <w:r w:rsidRPr="0060041A">
              <w:rPr>
                <w:rFonts w:ascii="新宋体" w:eastAsia="新宋体" w:hAnsi="新宋体" w:hint="eastAsia"/>
                <w:b/>
                <w:color w:val="auto"/>
                <w:sz w:val="21"/>
                <w:szCs w:val="21"/>
              </w:rPr>
              <w:t>（</w:t>
            </w:r>
            <w:r w:rsidR="000E2F52">
              <w:rPr>
                <w:rFonts w:ascii="新宋体" w:eastAsia="新宋体" w:hAnsi="新宋体" w:hint="eastAsia"/>
                <w:b/>
                <w:color w:val="auto"/>
                <w:sz w:val="21"/>
                <w:szCs w:val="21"/>
              </w:rPr>
              <w:t>不</w:t>
            </w:r>
            <w:r w:rsidRPr="0060041A">
              <w:rPr>
                <w:rFonts w:ascii="新宋体" w:eastAsia="新宋体" w:hAnsi="新宋体" w:hint="eastAsia"/>
                <w:b/>
                <w:color w:val="auto"/>
                <w:sz w:val="21"/>
                <w:szCs w:val="21"/>
              </w:rPr>
              <w:t>含该时点</w:t>
            </w:r>
            <w:r w:rsidRPr="0060041A">
              <w:rPr>
                <w:rFonts w:ascii="新宋体" w:eastAsia="新宋体" w:hAnsi="新宋体" w:hint="eastAsia"/>
                <w:color w:val="auto"/>
                <w:sz w:val="21"/>
                <w:szCs w:val="21"/>
              </w:rPr>
              <w:t>，具体以系统时间为准</w:t>
            </w:r>
            <w:r w:rsidRPr="0060041A">
              <w:rPr>
                <w:rFonts w:ascii="新宋体" w:eastAsia="新宋体" w:hAnsi="新宋体" w:hint="eastAsia"/>
                <w:b/>
                <w:color w:val="auto"/>
                <w:sz w:val="21"/>
                <w:szCs w:val="21"/>
              </w:rPr>
              <w:t>）后</w:t>
            </w:r>
            <w:r w:rsidRPr="0060041A">
              <w:rPr>
                <w:rFonts w:ascii="新宋体" w:eastAsia="新宋体" w:hAnsi="新宋体"/>
                <w:b/>
                <w:color w:val="auto"/>
                <w:sz w:val="21"/>
                <w:szCs w:val="21"/>
              </w:rPr>
              <w:t>购买，</w:t>
            </w:r>
            <w:r w:rsidRPr="0060041A">
              <w:rPr>
                <w:rFonts w:ascii="新宋体" w:eastAsia="新宋体" w:hAnsi="新宋体" w:hint="eastAsia"/>
                <w:b/>
                <w:color w:val="auto"/>
                <w:sz w:val="21"/>
                <w:szCs w:val="21"/>
              </w:rPr>
              <w:t>购买资金实时冻结（具体以各销售服务机构规则为准），该购买委托算作下一工作日（</w:t>
            </w:r>
            <w:r w:rsidRPr="0060041A">
              <w:rPr>
                <w:rFonts w:ascii="新宋体" w:eastAsia="新宋体" w:hAnsi="新宋体"/>
                <w:b/>
                <w:color w:val="auto"/>
                <w:sz w:val="21"/>
                <w:szCs w:val="21"/>
              </w:rPr>
              <w:t>T+1日）的申请，青银理财将于T+2日对该笔购买申请进行确认并开始计算收益，若</w:t>
            </w:r>
            <w:r w:rsidRPr="0060041A">
              <w:rPr>
                <w:rFonts w:ascii="新宋体" w:eastAsia="新宋体" w:hAnsi="新宋体" w:hint="eastAsia"/>
                <w:b/>
                <w:color w:val="auto"/>
                <w:sz w:val="21"/>
                <w:szCs w:val="21"/>
              </w:rPr>
              <w:t>处理</w:t>
            </w:r>
            <w:r w:rsidRPr="0060041A">
              <w:rPr>
                <w:rFonts w:ascii="新宋体" w:eastAsia="新宋体" w:hAnsi="新宋体"/>
                <w:b/>
                <w:color w:val="auto"/>
                <w:sz w:val="21"/>
                <w:szCs w:val="21"/>
              </w:rPr>
              <w:t>失败（如扣款失败等）则理财购买失败。</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4.T日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（含该时点，具体以系统时间为准）前的交易申请仅可在T日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前撤销（具体以各销售服务机构规则为准），T日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w:t>
            </w:r>
            <w:r w:rsidR="000E2F52">
              <w:rPr>
                <w:rFonts w:ascii="新宋体" w:eastAsia="新宋体" w:hAnsi="新宋体" w:hint="eastAsia"/>
                <w:color w:val="auto"/>
                <w:sz w:val="21"/>
                <w:szCs w:val="21"/>
              </w:rPr>
              <w:t>不</w:t>
            </w:r>
            <w:r w:rsidRPr="0060041A">
              <w:rPr>
                <w:rFonts w:ascii="新宋体" w:eastAsia="新宋体" w:hAnsi="新宋体" w:hint="eastAsia"/>
                <w:color w:val="auto"/>
                <w:sz w:val="21"/>
                <w:szCs w:val="21"/>
              </w:rPr>
              <w:t>含该时点，具体以系统时间为准）后的交易申请可在T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前撤销（具体以各销售服务机构规则为准）。撤销成功后购买资金</w:t>
            </w:r>
            <w:r w:rsidRPr="0060041A">
              <w:rPr>
                <w:rFonts w:ascii="新宋体" w:eastAsia="新宋体" w:hAnsi="新宋体"/>
                <w:color w:val="auto"/>
                <w:sz w:val="21"/>
                <w:szCs w:val="21"/>
              </w:rPr>
              <w:t>回款</w:t>
            </w:r>
            <w:r w:rsidRPr="0060041A">
              <w:rPr>
                <w:rFonts w:ascii="新宋体" w:eastAsia="新宋体" w:hAnsi="新宋体" w:hint="eastAsia"/>
                <w:color w:val="auto"/>
                <w:sz w:val="21"/>
                <w:szCs w:val="21"/>
              </w:rPr>
              <w:t>时间以各销售机构实际情况为准。</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5.购买确认份额=购买金额÷单位净值。产品份额四舍五入保留2位小数。</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6</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上述T日</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T+1日、T+2日指工作日。投资者于非工作日申请购买的，视为该非工作日的下一个工作日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前申请购买。</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开放期</w:t>
            </w:r>
          </w:p>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赎回及确认</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hAnsi="新宋体" w:hint="eastAsia"/>
                <w:color w:val="auto"/>
                <w:sz w:val="21"/>
                <w:szCs w:val="21"/>
              </w:rPr>
              <w:t>1.开放期内，投资者每日均可提交赎回申请。</w:t>
            </w:r>
            <w:r w:rsidRPr="0060041A">
              <w:rPr>
                <w:rFonts w:ascii="新宋体" w:eastAsia="新宋体" w:hAnsi="新宋体" w:hint="eastAsia"/>
                <w:b/>
                <w:color w:val="auto"/>
                <w:sz w:val="21"/>
                <w:szCs w:val="21"/>
              </w:rPr>
              <w:t>（早晚系统批量清算期间、司法冻结等特殊情况无法交易）</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2</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w:t>
            </w:r>
            <w:r w:rsidRPr="0060041A">
              <w:rPr>
                <w:rFonts w:ascii="新宋体" w:eastAsia="新宋体" w:hAnsi="新宋体"/>
                <w:color w:val="auto"/>
                <w:sz w:val="21"/>
                <w:szCs w:val="21"/>
              </w:rPr>
              <w:t>赎回，</w:t>
            </w:r>
            <w:r w:rsidRPr="0060041A">
              <w:rPr>
                <w:rFonts w:ascii="新宋体" w:eastAsia="新宋体" w:hAnsi="新宋体" w:hint="eastAsia"/>
                <w:color w:val="auto"/>
                <w:sz w:val="21"/>
                <w:szCs w:val="21"/>
              </w:rPr>
              <w:t>青银理财将在T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日对该笔赎回申请进行确认，如确认成功则扣减份额进行资金入账，赎回当日计提收益</w:t>
            </w:r>
            <w:r w:rsidRPr="0060041A">
              <w:rPr>
                <w:rFonts w:ascii="新宋体" w:eastAsia="新宋体" w:hAnsi="新宋体"/>
                <w:color w:val="auto"/>
                <w:sz w:val="21"/>
                <w:szCs w:val="21"/>
              </w:rPr>
              <w:t>。</w:t>
            </w:r>
          </w:p>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hAnsi="新宋体" w:hint="eastAsia"/>
                <w:color w:val="auto"/>
                <w:sz w:val="21"/>
                <w:szCs w:val="21"/>
              </w:rPr>
              <w:t>3</w:t>
            </w:r>
            <w:r w:rsidRPr="0060041A">
              <w:rPr>
                <w:rFonts w:ascii="新宋体" w:eastAsia="新宋体" w:hAnsi="新宋体"/>
                <w:color w:val="auto"/>
                <w:sz w:val="21"/>
                <w:szCs w:val="21"/>
              </w:rPr>
              <w:t>.</w:t>
            </w:r>
            <w:r w:rsidRPr="0060041A">
              <w:rPr>
                <w:rFonts w:ascii="新宋体" w:eastAsia="新宋体" w:hAnsi="新宋体" w:hint="eastAsia"/>
                <w:b/>
                <w:color w:val="auto"/>
                <w:sz w:val="21"/>
                <w:szCs w:val="21"/>
              </w:rPr>
              <w:t>T日</w:t>
            </w:r>
            <w:r w:rsidR="001A4C4C">
              <w:rPr>
                <w:rFonts w:ascii="新宋体" w:eastAsia="新宋体" w:hAnsi="新宋体" w:hint="eastAsia"/>
                <w:b/>
                <w:color w:val="auto"/>
                <w:sz w:val="21"/>
                <w:szCs w:val="21"/>
              </w:rPr>
              <w:t>15:30</w:t>
            </w:r>
            <w:r w:rsidRPr="0060041A">
              <w:rPr>
                <w:rFonts w:ascii="新宋体" w:eastAsia="新宋体" w:hAnsi="新宋体" w:hint="eastAsia"/>
                <w:b/>
                <w:color w:val="auto"/>
                <w:sz w:val="21"/>
                <w:szCs w:val="21"/>
              </w:rPr>
              <w:t>（</w:t>
            </w:r>
            <w:r w:rsidR="000E2F52">
              <w:rPr>
                <w:rFonts w:ascii="新宋体" w:eastAsia="新宋体" w:hAnsi="新宋体" w:hint="eastAsia"/>
                <w:b/>
                <w:color w:val="auto"/>
                <w:sz w:val="21"/>
                <w:szCs w:val="21"/>
              </w:rPr>
              <w:t>不</w:t>
            </w:r>
            <w:r w:rsidRPr="0060041A">
              <w:rPr>
                <w:rFonts w:ascii="新宋体" w:eastAsia="新宋体" w:hAnsi="新宋体" w:hint="eastAsia"/>
                <w:b/>
                <w:color w:val="auto"/>
                <w:sz w:val="21"/>
                <w:szCs w:val="21"/>
              </w:rPr>
              <w:t>含该时点</w:t>
            </w:r>
            <w:r w:rsidRPr="0060041A">
              <w:rPr>
                <w:rFonts w:ascii="新宋体" w:eastAsia="新宋体" w:hAnsi="新宋体" w:hint="eastAsia"/>
                <w:color w:val="auto"/>
                <w:sz w:val="21"/>
                <w:szCs w:val="21"/>
              </w:rPr>
              <w:t>，具体以系统时间为准</w:t>
            </w:r>
            <w:r w:rsidRPr="0060041A">
              <w:rPr>
                <w:rFonts w:ascii="新宋体" w:eastAsia="新宋体" w:hAnsi="新宋体" w:hint="eastAsia"/>
                <w:b/>
                <w:color w:val="auto"/>
                <w:sz w:val="21"/>
                <w:szCs w:val="21"/>
              </w:rPr>
              <w:t>）后赎回，该赎回委托算作下一工作日（</w:t>
            </w:r>
            <w:r w:rsidRPr="0060041A">
              <w:rPr>
                <w:rFonts w:ascii="新宋体" w:eastAsia="新宋体" w:hAnsi="新宋体"/>
                <w:b/>
                <w:color w:val="auto"/>
                <w:sz w:val="21"/>
                <w:szCs w:val="21"/>
              </w:rPr>
              <w:t>T+1日）的申请，青银理财将于T+2日对该笔赎回申请进行确认，</w:t>
            </w:r>
            <w:r w:rsidRPr="0060041A">
              <w:rPr>
                <w:rFonts w:ascii="新宋体" w:eastAsia="新宋体" w:hAnsi="新宋体" w:hint="eastAsia"/>
                <w:b/>
                <w:color w:val="auto"/>
                <w:sz w:val="21"/>
                <w:szCs w:val="21"/>
              </w:rPr>
              <w:t>如确认成功则扣减份额进行资金入账，T日和T</w:t>
            </w:r>
            <w:r w:rsidRPr="0060041A">
              <w:rPr>
                <w:rFonts w:ascii="新宋体" w:eastAsia="新宋体" w:hAnsi="新宋体"/>
                <w:b/>
                <w:color w:val="auto"/>
                <w:sz w:val="21"/>
                <w:szCs w:val="21"/>
              </w:rPr>
              <w:t>+1</w:t>
            </w:r>
            <w:r w:rsidRPr="0060041A">
              <w:rPr>
                <w:rFonts w:ascii="新宋体" w:eastAsia="新宋体" w:hAnsi="新宋体" w:hint="eastAsia"/>
                <w:b/>
                <w:color w:val="auto"/>
                <w:sz w:val="21"/>
                <w:szCs w:val="21"/>
              </w:rPr>
              <w:t>日均计提收益</w:t>
            </w:r>
            <w:r w:rsidRPr="0060041A">
              <w:rPr>
                <w:rFonts w:ascii="新宋体" w:eastAsia="新宋体" w:hAnsi="新宋体"/>
                <w:b/>
                <w:color w:val="auto"/>
                <w:sz w:val="21"/>
                <w:szCs w:val="21"/>
              </w:rPr>
              <w:t>。</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4.T日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（含该时点，具体以系统时间为准）前的赎回申请仅可在T日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前撤销（具体以各销售服务机构规则为准），T日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w:t>
            </w:r>
            <w:r w:rsidR="000E2F52">
              <w:rPr>
                <w:rFonts w:ascii="新宋体" w:eastAsia="新宋体" w:hAnsi="新宋体" w:hint="eastAsia"/>
                <w:color w:val="auto"/>
                <w:sz w:val="21"/>
                <w:szCs w:val="21"/>
              </w:rPr>
              <w:t>不</w:t>
            </w:r>
            <w:r w:rsidRPr="0060041A">
              <w:rPr>
                <w:rFonts w:ascii="新宋体" w:eastAsia="新宋体" w:hAnsi="新宋体" w:hint="eastAsia"/>
                <w:color w:val="auto"/>
                <w:sz w:val="21"/>
                <w:szCs w:val="21"/>
              </w:rPr>
              <w:t>含该时点，具体以系统时间为准）后的赎回申请可在T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前撤销（具体以各销售服务机构规则为准）。</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5</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赎回资金将于赎回份额确认日后的</w:t>
            </w:r>
            <w:r w:rsidR="00E1339B"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个工作日内到账，实际到账时间以各销售机构为准。</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color w:val="auto"/>
                <w:sz w:val="21"/>
                <w:szCs w:val="21"/>
              </w:rPr>
              <w:t>6</w:t>
            </w:r>
            <w:r w:rsidRPr="0060041A">
              <w:rPr>
                <w:rFonts w:ascii="新宋体" w:eastAsia="新宋体" w:hAnsi="新宋体" w:hint="eastAsia"/>
                <w:color w:val="auto"/>
                <w:sz w:val="21"/>
                <w:szCs w:val="21"/>
              </w:rPr>
              <w:t>.赎回入账资金=赎回份额×单位净值。</w:t>
            </w:r>
          </w:p>
          <w:p w:rsidR="005E39AE" w:rsidRPr="0060041A" w:rsidRDefault="005E39AE">
            <w:pPr>
              <w:spacing w:line="360" w:lineRule="auto"/>
              <w:jc w:val="left"/>
              <w:rPr>
                <w:rFonts w:ascii="新宋体" w:eastAsia="新宋体" w:hAnsi="新宋体"/>
                <w:color w:val="auto"/>
                <w:sz w:val="21"/>
                <w:szCs w:val="21"/>
              </w:rPr>
            </w:pPr>
            <w:r w:rsidRPr="0060041A">
              <w:rPr>
                <w:rFonts w:ascii="新宋体" w:eastAsia="新宋体" w:hAnsi="新宋体"/>
                <w:color w:val="auto"/>
                <w:sz w:val="21"/>
                <w:szCs w:val="21"/>
              </w:rPr>
              <w:t>7.</w:t>
            </w:r>
            <w:r w:rsidRPr="0060041A">
              <w:rPr>
                <w:rFonts w:ascii="新宋体" w:eastAsia="新宋体" w:hAnsi="新宋体" w:hint="eastAsia"/>
                <w:color w:val="auto"/>
                <w:sz w:val="21"/>
                <w:szCs w:val="21"/>
              </w:rPr>
              <w:t>上述T日</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T+1日、T+2日指工作日。投资者于非工作日申请赎回的，视为该非工作日的下一个工作日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前申请赎回。</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赎回上限</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新宋体" w:eastAsia="新宋体" w:hAnsi="新宋体"/>
                <w:b/>
                <w:color w:val="auto"/>
                <w:sz w:val="21"/>
                <w:szCs w:val="21"/>
              </w:rPr>
            </w:pPr>
            <w:r w:rsidRPr="0060041A">
              <w:rPr>
                <w:rFonts w:ascii="新宋体" w:eastAsia="新宋体" w:cs="新宋体" w:hint="eastAsia"/>
                <w:b/>
                <w:kern w:val="0"/>
                <w:sz w:val="21"/>
                <w:szCs w:val="21"/>
              </w:rPr>
              <w:t>指单个开放日中，本理财计划的净赎回份额（当日赎回申请总份额扣除当日购买总份额后的余额）不得超过上一日本理财计划总份额的</w:t>
            </w:r>
            <w:r w:rsidRPr="0060041A">
              <w:rPr>
                <w:rFonts w:ascii="新宋体" w:eastAsia="新宋体" w:cs="新宋体"/>
                <w:b/>
                <w:kern w:val="0"/>
                <w:sz w:val="21"/>
                <w:szCs w:val="21"/>
              </w:rPr>
              <w:t>10%</w:t>
            </w:r>
            <w:r w:rsidRPr="0060041A">
              <w:rPr>
                <w:rFonts w:ascii="新宋体" w:eastAsia="新宋体" w:cs="新宋体" w:hint="eastAsia"/>
                <w:b/>
                <w:kern w:val="0"/>
                <w:sz w:val="21"/>
                <w:szCs w:val="21"/>
              </w:rPr>
              <w:t>。当本理财计划净赎回达到赎回上限时，为维持理财资产正常运作，保护已有投资者利益，青银理财有权拒绝赎回申请。</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收益分配方式</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left"/>
              <w:rPr>
                <w:rFonts w:ascii="宋体" w:eastAsia="宋体" w:hAnsi="Times New Roman"/>
                <w:sz w:val="21"/>
                <w:szCs w:val="21"/>
              </w:rPr>
            </w:pPr>
            <w:r w:rsidRPr="0060041A">
              <w:rPr>
                <w:rFonts w:ascii="新宋体" w:eastAsia="新宋体" w:hAnsi="新宋体" w:hint="eastAsia"/>
                <w:color w:val="auto"/>
                <w:sz w:val="21"/>
                <w:szCs w:val="21"/>
              </w:rPr>
              <w:t>购买确认成功后，如未发起全部赎回申请，本理财计划按日（自然日）</w:t>
            </w:r>
            <w:r w:rsidRPr="0060041A">
              <w:rPr>
                <w:rFonts w:ascii="新宋体" w:eastAsia="新宋体" w:hAnsi="新宋体"/>
                <w:color w:val="auto"/>
                <w:sz w:val="21"/>
                <w:szCs w:val="21"/>
              </w:rPr>
              <w:t>计算收益</w:t>
            </w:r>
            <w:r w:rsidRPr="0060041A">
              <w:rPr>
                <w:rFonts w:ascii="新宋体" w:eastAsia="新宋体" w:hAnsi="新宋体" w:hint="eastAsia"/>
                <w:color w:val="auto"/>
                <w:sz w:val="21"/>
                <w:szCs w:val="21"/>
              </w:rPr>
              <w:t>，并于每个工作日9:00前（具体以系统时间为准）</w:t>
            </w:r>
            <w:r w:rsidRPr="0060041A">
              <w:rPr>
                <w:rFonts w:ascii="新宋体" w:eastAsia="新宋体" w:hAnsi="新宋体"/>
                <w:color w:val="auto"/>
                <w:sz w:val="21"/>
                <w:szCs w:val="21"/>
              </w:rPr>
              <w:t>以</w:t>
            </w:r>
            <w:r w:rsidRPr="0060041A">
              <w:rPr>
                <w:rFonts w:ascii="新宋体" w:eastAsia="新宋体" w:hAnsi="新宋体" w:hint="eastAsia"/>
                <w:color w:val="auto"/>
                <w:sz w:val="21"/>
                <w:szCs w:val="21"/>
              </w:rPr>
              <w:t>理财</w:t>
            </w:r>
            <w:r w:rsidRPr="0060041A">
              <w:rPr>
                <w:rFonts w:ascii="新宋体" w:eastAsia="新宋体" w:hAnsi="新宋体"/>
                <w:color w:val="auto"/>
                <w:sz w:val="21"/>
                <w:szCs w:val="21"/>
              </w:rPr>
              <w:t>份额形式</w:t>
            </w:r>
            <w:r w:rsidRPr="0060041A">
              <w:rPr>
                <w:rFonts w:ascii="新宋体" w:eastAsia="新宋体" w:hAnsi="新宋体" w:hint="eastAsia"/>
                <w:color w:val="auto"/>
                <w:sz w:val="21"/>
                <w:szCs w:val="21"/>
              </w:rPr>
              <w:t>结转上日收益</w:t>
            </w:r>
            <w:r w:rsidRPr="0060041A">
              <w:rPr>
                <w:rFonts w:ascii="新宋体" w:eastAsia="新宋体" w:hAnsi="新宋体"/>
                <w:color w:val="auto"/>
                <w:sz w:val="21"/>
                <w:szCs w:val="21"/>
              </w:rPr>
              <w:t>。</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产品市值</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产品市值=产品份额×单位净值</w:t>
            </w:r>
          </w:p>
        </w:tc>
      </w:tr>
      <w:tr w:rsidR="005E39AE"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widowControl/>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理财收益</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widowControl/>
              <w:spacing w:line="360" w:lineRule="auto"/>
              <w:jc w:val="left"/>
              <w:rPr>
                <w:rFonts w:ascii="新宋体" w:eastAsia="新宋体" w:hAnsi="新宋体"/>
                <w:color w:val="0000FF"/>
                <w:sz w:val="21"/>
                <w:szCs w:val="21"/>
              </w:rPr>
            </w:pPr>
            <w:r w:rsidRPr="0060041A">
              <w:rPr>
                <w:rFonts w:ascii="新宋体" w:eastAsia="新宋体" w:hAnsi="新宋体" w:hint="eastAsia"/>
                <w:color w:val="auto"/>
                <w:sz w:val="21"/>
                <w:szCs w:val="21"/>
              </w:rPr>
              <w:t>详见以下“十三、理财收益及分配”</w:t>
            </w:r>
          </w:p>
        </w:tc>
      </w:tr>
      <w:tr w:rsidR="00301134" w:rsidRPr="0060041A">
        <w:trPr>
          <w:trHeight w:val="247"/>
        </w:trPr>
        <w:tc>
          <w:tcPr>
            <w:tcW w:w="959" w:type="pct"/>
            <w:tcBorders>
              <w:top w:val="dotted" w:sz="4" w:space="0" w:color="auto"/>
              <w:left w:val="dotted" w:sz="4" w:space="0" w:color="auto"/>
              <w:bottom w:val="dotted" w:sz="4" w:space="0" w:color="auto"/>
              <w:right w:val="dotted" w:sz="4" w:space="0" w:color="auto"/>
            </w:tcBorders>
            <w:vAlign w:val="center"/>
          </w:tcPr>
          <w:p w:rsidR="00301134" w:rsidRPr="0060041A" w:rsidRDefault="00301134" w:rsidP="00301134">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交易渠道</w:t>
            </w:r>
          </w:p>
        </w:tc>
        <w:tc>
          <w:tcPr>
            <w:tcW w:w="4041" w:type="pct"/>
            <w:tcBorders>
              <w:top w:val="dotted" w:sz="4" w:space="0" w:color="auto"/>
              <w:left w:val="dotted" w:sz="4" w:space="0" w:color="auto"/>
              <w:bottom w:val="dotted" w:sz="4" w:space="0" w:color="auto"/>
              <w:right w:val="dotted" w:sz="4" w:space="0" w:color="auto"/>
            </w:tcBorders>
            <w:vAlign w:val="center"/>
          </w:tcPr>
          <w:p w:rsidR="00301134" w:rsidRPr="0060041A" w:rsidRDefault="00301134" w:rsidP="00B941B5">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A份额交易渠道为</w:t>
            </w:r>
            <w:r w:rsidR="00EE70D3">
              <w:rPr>
                <w:rFonts w:ascii="新宋体" w:eastAsia="新宋体" w:hAnsi="新宋体" w:hint="eastAsia"/>
                <w:color w:val="auto"/>
                <w:sz w:val="21"/>
                <w:szCs w:val="21"/>
              </w:rPr>
              <w:t>青岛银行</w:t>
            </w:r>
            <w:r w:rsidR="0015705B" w:rsidRPr="0015705B">
              <w:rPr>
                <w:rFonts w:ascii="新宋体" w:eastAsia="新宋体" w:hAnsi="新宋体" w:hint="eastAsia"/>
                <w:color w:val="auto"/>
                <w:sz w:val="21"/>
                <w:szCs w:val="21"/>
              </w:rPr>
              <w:t>及各销售服务渠道</w:t>
            </w:r>
            <w:r w:rsidRPr="0060041A">
              <w:rPr>
                <w:rFonts w:ascii="新宋体" w:eastAsia="新宋体" w:hAnsi="新宋体" w:hint="eastAsia"/>
                <w:color w:val="auto"/>
                <w:sz w:val="21"/>
                <w:szCs w:val="21"/>
              </w:rPr>
              <w:t>（</w:t>
            </w:r>
            <w:r w:rsidRPr="0060041A">
              <w:rPr>
                <w:rFonts w:ascii="黑体" w:eastAsia="黑体" w:hAnsi="黑体" w:hint="eastAsia"/>
                <w:b/>
                <w:bCs/>
                <w:sz w:val="21"/>
                <w:szCs w:val="21"/>
              </w:rPr>
              <w:t>可购投资者以销售机构认定为准</w:t>
            </w:r>
            <w:r w:rsidRPr="0060041A">
              <w:rPr>
                <w:rFonts w:ascii="新宋体" w:eastAsia="新宋体" w:hAnsi="新宋体" w:hint="eastAsia"/>
                <w:color w:val="auto"/>
                <w:sz w:val="21"/>
                <w:szCs w:val="21"/>
              </w:rPr>
              <w:t>）</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sz w:val="21"/>
                <w:szCs w:val="22"/>
              </w:rPr>
            </w:pPr>
            <w:r w:rsidRPr="0060041A">
              <w:rPr>
                <w:rFonts w:ascii="新宋体" w:eastAsia="新宋体" w:hAnsi="新宋体" w:hint="eastAsia"/>
                <w:sz w:val="21"/>
                <w:szCs w:val="22"/>
              </w:rPr>
              <w:t>业绩比较基准</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b/>
                <w:sz w:val="21"/>
                <w:szCs w:val="22"/>
              </w:rPr>
            </w:pPr>
            <w:r w:rsidRPr="0060041A">
              <w:rPr>
                <w:rFonts w:ascii="新宋体" w:eastAsia="新宋体" w:hAnsi="新宋体" w:hint="eastAsia"/>
                <w:b/>
                <w:sz w:val="21"/>
                <w:szCs w:val="22"/>
              </w:rPr>
              <w:t>业绩比较基准不代表本理财计划的未来表现和实际收益，或管理人对本理财计划进行的收益承诺。投资者不应将业绩比较基准作为持有本理财计划份额到期的综合投资收益参考值。</w:t>
            </w:r>
          </w:p>
          <w:p w:rsidR="00EE70D3" w:rsidRPr="00EE70D3" w:rsidRDefault="003E5E8C">
            <w:pPr>
              <w:spacing w:line="360" w:lineRule="auto"/>
              <w:rPr>
                <w:rFonts w:ascii="新宋体" w:eastAsia="新宋体" w:hAnsi="新宋体"/>
                <w:b/>
                <w:sz w:val="21"/>
                <w:szCs w:val="22"/>
              </w:rPr>
            </w:pPr>
            <w:r w:rsidRPr="0060041A">
              <w:rPr>
                <w:rFonts w:ascii="新宋体" w:eastAsia="新宋体" w:hAnsi="新宋体" w:hint="eastAsia"/>
                <w:b/>
                <w:sz w:val="21"/>
                <w:szCs w:val="22"/>
              </w:rPr>
              <w:t>A</w:t>
            </w:r>
            <w:r w:rsidR="009E16E0">
              <w:rPr>
                <w:rFonts w:ascii="新宋体" w:eastAsia="新宋体" w:hAnsi="新宋体" w:hint="eastAsia"/>
                <w:b/>
                <w:sz w:val="21"/>
                <w:szCs w:val="22"/>
              </w:rPr>
              <w:t>份额</w:t>
            </w:r>
            <w:r w:rsidR="005E39AE" w:rsidRPr="0060041A">
              <w:rPr>
                <w:rFonts w:ascii="新宋体" w:eastAsia="新宋体" w:hAnsi="新宋体" w:hint="eastAsia"/>
                <w:b/>
                <w:sz w:val="21"/>
                <w:szCs w:val="22"/>
              </w:rPr>
              <w:t>业绩比较基准：中国人民银行公布的</w:t>
            </w:r>
            <w:r w:rsidR="005E39AE" w:rsidRPr="0060041A">
              <w:rPr>
                <w:rFonts w:ascii="新宋体" w:eastAsia="新宋体" w:hAnsi="新宋体"/>
                <w:b/>
                <w:sz w:val="21"/>
                <w:szCs w:val="22"/>
              </w:rPr>
              <w:t>7天通知存款利率</w:t>
            </w:r>
            <w:r w:rsidR="008C7E6D" w:rsidRPr="0060041A">
              <w:rPr>
                <w:rFonts w:ascii="新宋体" w:eastAsia="新宋体" w:hAnsi="新宋体"/>
                <w:b/>
                <w:sz w:val="21"/>
                <w:szCs w:val="22"/>
              </w:rPr>
              <w:t xml:space="preserve"> </w:t>
            </w:r>
          </w:p>
          <w:p w:rsidR="005E39AE" w:rsidRPr="0060041A" w:rsidRDefault="005E39AE" w:rsidP="003E5E8C">
            <w:pPr>
              <w:spacing w:line="360" w:lineRule="auto"/>
              <w:rPr>
                <w:rFonts w:ascii="新宋体" w:eastAsia="新宋体" w:hAnsi="新宋体"/>
                <w:b/>
                <w:sz w:val="21"/>
                <w:szCs w:val="22"/>
              </w:rPr>
            </w:pPr>
            <w:r w:rsidRPr="0060041A">
              <w:rPr>
                <w:rFonts w:ascii="新宋体" w:eastAsia="新宋体" w:hAnsi="新宋体" w:hint="eastAsia"/>
                <w:b/>
                <w:sz w:val="21"/>
                <w:szCs w:val="22"/>
              </w:rPr>
              <w:t>业绩比较基准测算依据：本产品投资对象主要包括固定收益类资产、货币市场工具、资产管理计划、非标资产（如有）等，业绩比较基准测算参考上述投资对象的资产加权平均收益率。综合考虑当前市场环境、资产配置中枢比例、产品费用及税费等因素，得出产品业绩比较基准。业绩比较基准是产品管理人基于产品性质、投资策略、过往经验等因素对产品设定的投资目标，不代表产品的未来表现和实际收益，不构成管理人对产品本金及收益的承诺，投资须谨慎。</w:t>
            </w:r>
          </w:p>
          <w:p w:rsidR="005E39AE" w:rsidRPr="0060041A" w:rsidRDefault="005E39AE" w:rsidP="003E5E8C">
            <w:pPr>
              <w:spacing w:line="360" w:lineRule="auto"/>
              <w:jc w:val="left"/>
              <w:rPr>
                <w:rFonts w:ascii="新宋体" w:eastAsia="新宋体" w:hAnsi="新宋体"/>
                <w:b/>
                <w:sz w:val="21"/>
                <w:szCs w:val="22"/>
              </w:rPr>
            </w:pPr>
            <w:r w:rsidRPr="0060041A">
              <w:rPr>
                <w:rFonts w:ascii="新宋体" w:eastAsia="新宋体" w:hAnsi="新宋体"/>
                <w:b/>
                <w:sz w:val="21"/>
                <w:szCs w:val="22"/>
              </w:rPr>
              <w:t>本产品为净值型产品，业绩表现将随市场情况波动，具有不确定性。当监管政策、市场环境、产品性质等因素发生变化，导致理财产品的业绩比较基准需要调整时，产品管理人将至少于调整日之前</w:t>
            </w:r>
            <w:r w:rsidRPr="0060041A">
              <w:rPr>
                <w:rFonts w:ascii="新宋体" w:eastAsia="新宋体" w:hAnsi="新宋体" w:hint="eastAsia"/>
                <w:b/>
                <w:sz w:val="21"/>
                <w:szCs w:val="22"/>
              </w:rPr>
              <w:t>2</w:t>
            </w:r>
            <w:r w:rsidRPr="0060041A">
              <w:rPr>
                <w:rFonts w:ascii="新宋体" w:eastAsia="新宋体" w:hAnsi="新宋体"/>
                <w:b/>
                <w:sz w:val="21"/>
                <w:szCs w:val="22"/>
              </w:rPr>
              <w:t>个工作日通过机构官方渠道或与投资者约定的其他渠道公布调整情况和调整原因。</w:t>
            </w:r>
          </w:p>
          <w:p w:rsidR="005E39AE" w:rsidRPr="0060041A" w:rsidRDefault="005E39AE" w:rsidP="003E5E8C">
            <w:pPr>
              <w:spacing w:line="360" w:lineRule="auto"/>
              <w:jc w:val="left"/>
              <w:rPr>
                <w:rFonts w:ascii="新宋体" w:eastAsia="新宋体" w:hAnsi="新宋体"/>
                <w:b/>
                <w:sz w:val="21"/>
                <w:szCs w:val="22"/>
              </w:rPr>
            </w:pPr>
            <w:r w:rsidRPr="0060041A">
              <w:rPr>
                <w:rFonts w:ascii="新宋体" w:eastAsia="新宋体" w:hAnsi="新宋体" w:hint="eastAsia"/>
                <w:b/>
                <w:sz w:val="21"/>
                <w:szCs w:val="22"/>
              </w:rPr>
              <w:t>如理财投资本金及收益未按时和/或足额收回，则本理财计划的到期收益可能降低，最不利情形损失部分或全部本金。对于超出“业绩基准”部分的投资收益</w:t>
            </w:r>
            <w:r w:rsidR="008C7E6D">
              <w:rPr>
                <w:rFonts w:ascii="新宋体" w:eastAsia="新宋体" w:hAnsi="新宋体" w:hint="eastAsia"/>
                <w:b/>
                <w:sz w:val="21"/>
                <w:szCs w:val="22"/>
              </w:rPr>
              <w:t>1</w:t>
            </w:r>
            <w:r w:rsidR="008C7E6D">
              <w:rPr>
                <w:rFonts w:ascii="新宋体" w:eastAsia="新宋体" w:hAnsi="新宋体"/>
                <w:b/>
                <w:sz w:val="21"/>
                <w:szCs w:val="22"/>
              </w:rPr>
              <w:t>00</w:t>
            </w:r>
            <w:r w:rsidR="008C7E6D">
              <w:rPr>
                <w:rFonts w:ascii="新宋体" w:eastAsia="新宋体" w:hAnsi="新宋体" w:hint="eastAsia"/>
                <w:b/>
                <w:sz w:val="21"/>
                <w:szCs w:val="22"/>
              </w:rPr>
              <w:t>%</w:t>
            </w:r>
            <w:r w:rsidRPr="0060041A">
              <w:rPr>
                <w:rFonts w:ascii="新宋体" w:eastAsia="新宋体" w:hAnsi="新宋体" w:hint="eastAsia"/>
                <w:b/>
                <w:sz w:val="21"/>
                <w:szCs w:val="22"/>
              </w:rPr>
              <w:t>归于投资者。</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托管费率</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344770" w:rsidP="00FC68D7">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color w:val="auto"/>
                <w:sz w:val="21"/>
                <w:szCs w:val="21"/>
              </w:rPr>
              <w:t>0.010%</w:t>
            </w:r>
            <w:r w:rsidR="005E39AE" w:rsidRPr="0060041A">
              <w:rPr>
                <w:rFonts w:ascii="新宋体" w:eastAsia="新宋体" w:hAnsi="新宋体" w:hint="eastAsia"/>
                <w:color w:val="auto"/>
                <w:sz w:val="21"/>
                <w:szCs w:val="21"/>
              </w:rPr>
              <w:t>（年化费率，按日根据理财产品存续份额计提，由理财托管人收取）</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管理费率</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412DA1" w:rsidP="00B941B5">
            <w:pPr>
              <w:widowControl/>
              <w:spacing w:before="100" w:beforeAutospacing="1" w:after="100" w:afterAutospacing="1" w:line="360" w:lineRule="auto"/>
              <w:jc w:val="left"/>
              <w:rPr>
                <w:rFonts w:ascii="新宋体" w:eastAsia="新宋体" w:hAnsi="新宋体"/>
                <w:color w:val="auto"/>
                <w:sz w:val="21"/>
                <w:szCs w:val="21"/>
              </w:rPr>
            </w:pPr>
            <w:r w:rsidRPr="0060041A">
              <w:rPr>
                <w:rFonts w:ascii="新宋体" w:eastAsia="新宋体" w:hAnsi="新宋体"/>
                <w:color w:val="auto"/>
                <w:sz w:val="21"/>
                <w:szCs w:val="21"/>
              </w:rPr>
              <w:t>A份额固定管理费率（年化）为0.40%</w:t>
            </w: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由理财管理人按日计提收取</w:t>
            </w:r>
            <w:r w:rsidR="004102BC" w:rsidRPr="0060041A">
              <w:rPr>
                <w:rFonts w:ascii="新宋体" w:eastAsia="新宋体" w:hAnsi="新宋体" w:hint="eastAsia"/>
                <w:color w:val="auto"/>
                <w:sz w:val="21"/>
                <w:szCs w:val="21"/>
              </w:rPr>
              <w:t>。当本理财计划投资运作收益小于“业绩比较基准”时，管理人将有权放弃计提的管理费，最高为已计提的全部管理费。</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万份收益</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1.指本理财计划</w:t>
            </w:r>
            <w:r w:rsidRPr="0060041A">
              <w:rPr>
                <w:rFonts w:ascii="新宋体" w:eastAsia="新宋体" w:hAnsi="新宋体"/>
                <w:color w:val="auto"/>
                <w:sz w:val="21"/>
                <w:szCs w:val="21"/>
              </w:rPr>
              <w:t>每万</w:t>
            </w:r>
            <w:r w:rsidRPr="0060041A">
              <w:rPr>
                <w:rFonts w:ascii="新宋体" w:eastAsia="新宋体" w:hAnsi="新宋体" w:hint="eastAsia"/>
                <w:color w:val="auto"/>
                <w:sz w:val="21"/>
                <w:szCs w:val="21"/>
              </w:rPr>
              <w:t>份</w:t>
            </w:r>
            <w:r w:rsidRPr="0060041A">
              <w:rPr>
                <w:rFonts w:ascii="新宋体" w:eastAsia="新宋体" w:hAnsi="新宋体"/>
                <w:color w:val="auto"/>
                <w:sz w:val="21"/>
                <w:szCs w:val="21"/>
              </w:rPr>
              <w:t>理财</w:t>
            </w:r>
            <w:r w:rsidRPr="0060041A">
              <w:rPr>
                <w:rFonts w:ascii="新宋体" w:eastAsia="新宋体" w:hAnsi="新宋体" w:hint="eastAsia"/>
                <w:color w:val="auto"/>
                <w:sz w:val="21"/>
                <w:szCs w:val="21"/>
              </w:rPr>
              <w:t>份额对应</w:t>
            </w:r>
            <w:r w:rsidRPr="0060041A">
              <w:rPr>
                <w:rFonts w:ascii="新宋体" w:eastAsia="新宋体" w:hAnsi="新宋体"/>
                <w:color w:val="auto"/>
                <w:sz w:val="21"/>
                <w:szCs w:val="21"/>
              </w:rPr>
              <w:t>的</w:t>
            </w:r>
            <w:r w:rsidRPr="0060041A">
              <w:rPr>
                <w:rFonts w:ascii="新宋体" w:eastAsia="新宋体" w:hAnsi="新宋体" w:hint="eastAsia"/>
                <w:color w:val="auto"/>
                <w:sz w:val="21"/>
                <w:szCs w:val="21"/>
              </w:rPr>
              <w:t>单</w:t>
            </w:r>
            <w:r w:rsidRPr="0060041A">
              <w:rPr>
                <w:rFonts w:ascii="新宋体" w:eastAsia="新宋体" w:hAnsi="新宋体"/>
                <w:color w:val="auto"/>
                <w:sz w:val="21"/>
                <w:szCs w:val="21"/>
              </w:rPr>
              <w:t>日已实现收益，精确</w:t>
            </w:r>
            <w:r w:rsidRPr="0060041A">
              <w:rPr>
                <w:rFonts w:ascii="新宋体" w:eastAsia="新宋体" w:hAnsi="新宋体" w:hint="eastAsia"/>
                <w:color w:val="auto"/>
                <w:sz w:val="21"/>
                <w:szCs w:val="21"/>
              </w:rPr>
              <w:t>至</w:t>
            </w:r>
            <w:r w:rsidRPr="0060041A">
              <w:rPr>
                <w:rFonts w:ascii="新宋体" w:eastAsia="新宋体" w:hAnsi="新宋体"/>
                <w:color w:val="auto"/>
                <w:sz w:val="21"/>
                <w:szCs w:val="21"/>
              </w:rPr>
              <w:t>小数点后第</w:t>
            </w:r>
            <w:r w:rsidRPr="0060041A">
              <w:rPr>
                <w:rFonts w:ascii="新宋体" w:eastAsia="新宋体" w:hAnsi="新宋体" w:hint="eastAsia"/>
                <w:color w:val="auto"/>
                <w:sz w:val="21"/>
                <w:szCs w:val="21"/>
              </w:rPr>
              <w:t>4位</w:t>
            </w:r>
            <w:r w:rsidRPr="0060041A">
              <w:rPr>
                <w:rFonts w:ascii="新宋体" w:eastAsia="新宋体" w:hAnsi="新宋体"/>
                <w:color w:val="auto"/>
                <w:sz w:val="21"/>
                <w:szCs w:val="21"/>
              </w:rPr>
              <w:t>。</w:t>
            </w:r>
          </w:p>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2.万份收益=</w:t>
            </w:r>
            <w:r w:rsidRPr="0060041A">
              <w:rPr>
                <w:rFonts w:ascii="新宋体" w:eastAsia="新宋体" w:hAnsi="新宋体"/>
                <w:color w:val="auto"/>
                <w:sz w:val="21"/>
                <w:szCs w:val="21"/>
              </w:rPr>
              <w:t>当日</w:t>
            </w:r>
            <w:r w:rsidRPr="0060041A">
              <w:rPr>
                <w:rFonts w:ascii="新宋体" w:eastAsia="新宋体" w:hAnsi="新宋体" w:hint="eastAsia"/>
                <w:color w:val="auto"/>
                <w:sz w:val="21"/>
                <w:szCs w:val="21"/>
              </w:rPr>
              <w:t>本理财计划</w:t>
            </w:r>
            <w:r w:rsidRPr="0060041A">
              <w:rPr>
                <w:rFonts w:ascii="新宋体" w:eastAsia="新宋体" w:hAnsi="新宋体"/>
                <w:color w:val="auto"/>
                <w:sz w:val="21"/>
                <w:szCs w:val="21"/>
              </w:rPr>
              <w:t>已实现收益</w:t>
            </w:r>
            <w:r w:rsidRPr="0060041A">
              <w:rPr>
                <w:rFonts w:ascii="新宋体" w:eastAsia="新宋体" w:hAnsi="新宋体" w:hint="eastAsia"/>
                <w:color w:val="auto"/>
                <w:sz w:val="21"/>
                <w:szCs w:val="21"/>
              </w:rPr>
              <w:t>÷当日本理财计划总份额×10</w:t>
            </w:r>
            <w:r w:rsidRPr="0060041A">
              <w:rPr>
                <w:rFonts w:ascii="新宋体" w:eastAsia="新宋体" w:hAnsi="新宋体"/>
                <w:color w:val="auto"/>
                <w:sz w:val="21"/>
                <w:szCs w:val="21"/>
              </w:rPr>
              <w:t>000</w:t>
            </w:r>
          </w:p>
          <w:p w:rsidR="005E39AE" w:rsidRPr="0060041A" w:rsidRDefault="005E39AE">
            <w:pPr>
              <w:spacing w:line="360" w:lineRule="auto"/>
              <w:rPr>
                <w:rFonts w:ascii="新宋体" w:eastAsia="新宋体" w:hAnsi="新宋体"/>
                <w:b/>
                <w:color w:val="auto"/>
                <w:sz w:val="21"/>
                <w:szCs w:val="21"/>
              </w:rPr>
            </w:pPr>
            <w:r w:rsidRPr="0060041A">
              <w:rPr>
                <w:rFonts w:ascii="新宋体" w:eastAsia="新宋体" w:hAnsi="新宋体"/>
                <w:color w:val="auto"/>
                <w:sz w:val="21"/>
                <w:szCs w:val="21"/>
              </w:rPr>
              <w:t>当日</w:t>
            </w:r>
            <w:r w:rsidRPr="0060041A">
              <w:rPr>
                <w:rFonts w:ascii="新宋体" w:eastAsia="新宋体" w:hAnsi="新宋体" w:hint="eastAsia"/>
                <w:color w:val="auto"/>
                <w:sz w:val="21"/>
                <w:szCs w:val="21"/>
              </w:rPr>
              <w:t>本理财计划</w:t>
            </w:r>
            <w:r w:rsidRPr="0060041A">
              <w:rPr>
                <w:rFonts w:ascii="新宋体" w:eastAsia="新宋体" w:hAnsi="新宋体"/>
                <w:color w:val="auto"/>
                <w:sz w:val="21"/>
                <w:szCs w:val="21"/>
              </w:rPr>
              <w:t>已实现收益</w:t>
            </w:r>
            <w:r w:rsidRPr="0060041A">
              <w:rPr>
                <w:rFonts w:ascii="新宋体" w:eastAsia="新宋体" w:hAnsi="新宋体" w:hint="eastAsia"/>
                <w:color w:val="auto"/>
                <w:sz w:val="21"/>
                <w:szCs w:val="21"/>
              </w:rPr>
              <w:t>为已扣除管理费、托管费等费用的净收益</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近7日年化收益率</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1.指</w:t>
            </w:r>
            <w:r w:rsidRPr="0060041A">
              <w:rPr>
                <w:rFonts w:ascii="新宋体" w:eastAsia="新宋体" w:hAnsi="新宋体"/>
                <w:color w:val="auto"/>
                <w:sz w:val="21"/>
                <w:szCs w:val="21"/>
              </w:rPr>
              <w:t>以本</w:t>
            </w:r>
            <w:r w:rsidRPr="0060041A">
              <w:rPr>
                <w:rFonts w:ascii="新宋体" w:eastAsia="新宋体" w:hAnsi="新宋体" w:hint="eastAsia"/>
                <w:color w:val="auto"/>
                <w:sz w:val="21"/>
                <w:szCs w:val="21"/>
              </w:rPr>
              <w:t>理财计划</w:t>
            </w:r>
            <w:r w:rsidRPr="0060041A">
              <w:rPr>
                <w:rFonts w:ascii="新宋体" w:eastAsia="新宋体" w:hAnsi="新宋体"/>
                <w:color w:val="auto"/>
                <w:sz w:val="21"/>
                <w:szCs w:val="21"/>
              </w:rPr>
              <w:t>最近</w:t>
            </w:r>
            <w:r w:rsidRPr="0060041A">
              <w:rPr>
                <w:rFonts w:ascii="新宋体" w:eastAsia="新宋体" w:hAnsi="新宋体" w:hint="eastAsia"/>
                <w:color w:val="auto"/>
                <w:sz w:val="21"/>
                <w:szCs w:val="21"/>
              </w:rPr>
              <w:t>7日</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含非工作日</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的收益</w:t>
            </w:r>
            <w:r w:rsidRPr="0060041A">
              <w:rPr>
                <w:rFonts w:ascii="新宋体" w:eastAsia="新宋体" w:hAnsi="新宋体"/>
                <w:color w:val="auto"/>
                <w:sz w:val="21"/>
                <w:szCs w:val="21"/>
              </w:rPr>
              <w:t>所折算的年化收益率。产品</w:t>
            </w:r>
            <w:r w:rsidRPr="0060041A">
              <w:rPr>
                <w:rFonts w:ascii="新宋体" w:eastAsia="新宋体" w:hAnsi="新宋体" w:hint="eastAsia"/>
                <w:color w:val="auto"/>
                <w:sz w:val="21"/>
                <w:szCs w:val="21"/>
              </w:rPr>
              <w:t>成立</w:t>
            </w:r>
            <w:r w:rsidRPr="0060041A">
              <w:rPr>
                <w:rFonts w:ascii="新宋体" w:eastAsia="新宋体" w:hAnsi="新宋体"/>
                <w:color w:val="auto"/>
                <w:sz w:val="21"/>
                <w:szCs w:val="21"/>
              </w:rPr>
              <w:t>不满</w:t>
            </w:r>
            <w:r w:rsidRPr="0060041A">
              <w:rPr>
                <w:rFonts w:ascii="新宋体" w:eastAsia="新宋体" w:hAnsi="新宋体" w:hint="eastAsia"/>
                <w:color w:val="auto"/>
                <w:sz w:val="21"/>
                <w:szCs w:val="21"/>
              </w:rPr>
              <w:t>7</w:t>
            </w:r>
            <w:r w:rsidRPr="0060041A">
              <w:rPr>
                <w:rFonts w:ascii="新宋体" w:eastAsia="新宋体" w:hAnsi="新宋体"/>
                <w:color w:val="auto"/>
                <w:sz w:val="21"/>
                <w:szCs w:val="21"/>
              </w:rPr>
              <w:t>日</w:t>
            </w:r>
            <w:r w:rsidRPr="0060041A">
              <w:rPr>
                <w:rFonts w:ascii="新宋体" w:eastAsia="新宋体" w:hAnsi="新宋体" w:hint="eastAsia"/>
                <w:color w:val="auto"/>
                <w:sz w:val="21"/>
                <w:szCs w:val="21"/>
              </w:rPr>
              <w:t>的，</w:t>
            </w:r>
            <w:r w:rsidRPr="0060041A">
              <w:rPr>
                <w:rFonts w:ascii="新宋体" w:eastAsia="新宋体" w:hAnsi="新宋体"/>
                <w:color w:val="auto"/>
                <w:sz w:val="21"/>
                <w:szCs w:val="21"/>
              </w:rPr>
              <w:t>以实际</w:t>
            </w:r>
            <w:r w:rsidRPr="0060041A">
              <w:rPr>
                <w:rFonts w:ascii="新宋体" w:eastAsia="新宋体" w:hAnsi="新宋体" w:hint="eastAsia"/>
                <w:color w:val="auto"/>
                <w:sz w:val="21"/>
                <w:szCs w:val="21"/>
              </w:rPr>
              <w:t>天数对应</w:t>
            </w:r>
            <w:r w:rsidRPr="0060041A">
              <w:rPr>
                <w:rFonts w:ascii="新宋体" w:eastAsia="新宋体" w:hAnsi="新宋体"/>
                <w:color w:val="auto"/>
                <w:sz w:val="21"/>
                <w:szCs w:val="21"/>
              </w:rPr>
              <w:t>收益折算年</w:t>
            </w:r>
            <w:r w:rsidRPr="0060041A">
              <w:rPr>
                <w:rFonts w:ascii="新宋体" w:eastAsia="新宋体" w:hAnsi="新宋体" w:hint="eastAsia"/>
                <w:color w:val="auto"/>
                <w:sz w:val="21"/>
                <w:szCs w:val="21"/>
              </w:rPr>
              <w:t>化</w:t>
            </w:r>
            <w:r w:rsidRPr="0060041A">
              <w:rPr>
                <w:rFonts w:ascii="新宋体" w:eastAsia="新宋体" w:hAnsi="新宋体"/>
                <w:color w:val="auto"/>
                <w:sz w:val="21"/>
                <w:szCs w:val="21"/>
              </w:rPr>
              <w:t>收益率。</w:t>
            </w:r>
          </w:p>
          <w:p w:rsidR="005E39AE" w:rsidRPr="0060041A" w:rsidRDefault="005E39AE">
            <w:pPr>
              <w:spacing w:line="360" w:lineRule="auto"/>
              <w:rPr>
                <w:rFonts w:ascii="新宋体" w:eastAsia="新宋体" w:hAnsi="新宋体"/>
                <w:b/>
                <w:color w:val="auto"/>
                <w:sz w:val="21"/>
                <w:szCs w:val="21"/>
              </w:rPr>
            </w:pPr>
            <w:r w:rsidRPr="0060041A">
              <w:rPr>
                <w:rFonts w:ascii="新宋体" w:eastAsia="新宋体" w:hAnsi="新宋体" w:hint="eastAsia"/>
                <w:b/>
                <w:color w:val="auto"/>
                <w:sz w:val="21"/>
                <w:szCs w:val="21"/>
              </w:rPr>
              <w:t>2.近7日年化收益率是本理财计划历史上最近7天的平均收益水平，仅可作为近期产品收益水平的参考，其不能代表本理财计划未来的实际收益水平。</w:t>
            </w:r>
          </w:p>
          <w:p w:rsidR="005E39AE" w:rsidRPr="0060041A" w:rsidRDefault="005E39AE">
            <w:pPr>
              <w:spacing w:line="360" w:lineRule="auto"/>
              <w:rPr>
                <w:rFonts w:ascii="新宋体" w:eastAsia="新宋体" w:hAnsi="新宋体"/>
                <w:b/>
                <w:color w:val="auto"/>
                <w:sz w:val="21"/>
                <w:szCs w:val="21"/>
              </w:rPr>
            </w:pPr>
            <w:r w:rsidRPr="0060041A">
              <w:rPr>
                <w:rFonts w:ascii="新宋体" w:eastAsia="新宋体" w:hAnsi="新宋体" w:hint="eastAsia"/>
                <w:color w:val="auto"/>
                <w:sz w:val="21"/>
                <w:szCs w:val="21"/>
              </w:rPr>
              <w:t>3</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销售机构一般于每个工作日公布产品上日</w:t>
            </w:r>
            <w:r w:rsidRPr="0060041A">
              <w:rPr>
                <w:rFonts w:ascii="新宋体" w:eastAsia="新宋体" w:hAnsi="新宋体"/>
                <w:color w:val="auto"/>
                <w:sz w:val="21"/>
                <w:szCs w:val="21"/>
              </w:rPr>
              <w:t>万</w:t>
            </w:r>
            <w:r w:rsidRPr="0060041A">
              <w:rPr>
                <w:rFonts w:ascii="新宋体" w:eastAsia="新宋体" w:hAnsi="新宋体" w:hint="eastAsia"/>
                <w:color w:val="auto"/>
                <w:sz w:val="21"/>
                <w:szCs w:val="21"/>
              </w:rPr>
              <w:t>份</w:t>
            </w:r>
            <w:r w:rsidRPr="0060041A">
              <w:rPr>
                <w:rFonts w:ascii="新宋体" w:eastAsia="新宋体" w:hAnsi="新宋体"/>
                <w:color w:val="auto"/>
                <w:sz w:val="21"/>
                <w:szCs w:val="21"/>
              </w:rPr>
              <w:t>收益</w:t>
            </w:r>
            <w:r w:rsidRPr="0060041A">
              <w:rPr>
                <w:rFonts w:ascii="新宋体" w:eastAsia="新宋体" w:hAnsi="新宋体" w:hint="eastAsia"/>
                <w:color w:val="auto"/>
                <w:sz w:val="21"/>
                <w:szCs w:val="21"/>
              </w:rPr>
              <w:t>及最新的近7日年化收益率。投资者可通过各销售机构或青银理财官网渠道查询详情。</w:t>
            </w:r>
          </w:p>
        </w:tc>
      </w:tr>
      <w:tr w:rsidR="005E39AE" w:rsidRPr="0060041A">
        <w:trPr>
          <w:trHeight w:val="208"/>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提前终止权</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1.管理人有权按照监管要求或实际投资情况终止本理财产品，并至少于终止前2个工作日进行信息披露。</w:t>
            </w:r>
          </w:p>
          <w:p w:rsidR="005E39AE" w:rsidRPr="0060041A" w:rsidRDefault="005E39AE">
            <w:pPr>
              <w:spacing w:line="360" w:lineRule="auto"/>
              <w:rPr>
                <w:rFonts w:ascii="新宋体" w:eastAsia="新宋体" w:hAnsi="新宋体"/>
                <w:b/>
                <w:color w:val="auto"/>
                <w:sz w:val="21"/>
                <w:szCs w:val="21"/>
              </w:rPr>
            </w:pPr>
            <w:r w:rsidRPr="0060041A">
              <w:rPr>
                <w:rFonts w:ascii="新宋体" w:eastAsia="新宋体" w:hAnsi="新宋体" w:hint="eastAsia"/>
                <w:b/>
                <w:color w:val="auto"/>
                <w:sz w:val="21"/>
                <w:szCs w:val="21"/>
              </w:rPr>
              <w:t>2.投资者无权提前终止本理财计划，仅能根据本产品说明书的约定选择赎回本理财计划。</w:t>
            </w:r>
          </w:p>
        </w:tc>
      </w:tr>
      <w:tr w:rsidR="005E39AE" w:rsidRPr="0060041A">
        <w:trPr>
          <w:trHeight w:val="513"/>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400" w:lineRule="exact"/>
              <w:jc w:val="center"/>
              <w:rPr>
                <w:rFonts w:ascii="新宋体" w:eastAsia="新宋体" w:hAnsi="新宋体"/>
                <w:sz w:val="21"/>
                <w:szCs w:val="21"/>
              </w:rPr>
            </w:pPr>
            <w:r w:rsidRPr="0060041A">
              <w:rPr>
                <w:rFonts w:ascii="新宋体" w:eastAsia="新宋体" w:hAnsi="新宋体" w:hint="eastAsia"/>
                <w:sz w:val="21"/>
                <w:szCs w:val="21"/>
              </w:rPr>
              <w:t>税款</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rsidP="00E1339B">
            <w:pPr>
              <w:spacing w:line="360" w:lineRule="auto"/>
              <w:rPr>
                <w:rFonts w:ascii="新宋体" w:eastAsia="新宋体" w:hAnsi="新宋体"/>
                <w:b/>
                <w:color w:val="auto"/>
                <w:sz w:val="21"/>
                <w:szCs w:val="21"/>
              </w:rPr>
            </w:pPr>
            <w:r w:rsidRPr="0060041A">
              <w:rPr>
                <w:rFonts w:ascii="新宋体" w:eastAsia="新宋体" w:hAnsi="新宋体" w:hint="eastAsia"/>
                <w:b/>
                <w:color w:val="auto"/>
                <w:sz w:val="21"/>
                <w:szCs w:val="21"/>
              </w:rPr>
              <w:t>本理财收益的应纳税款由投资者自行申报、缴纳</w:t>
            </w:r>
          </w:p>
          <w:p w:rsidR="005E39AE" w:rsidRPr="0060041A" w:rsidRDefault="005E39AE" w:rsidP="00E1339B">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5E39AE" w:rsidRPr="0060041A">
        <w:trPr>
          <w:trHeight w:val="421"/>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168" w:lineRule="atLeast"/>
              <w:jc w:val="center"/>
              <w:rPr>
                <w:rFonts w:ascii="新宋体" w:eastAsia="新宋体" w:hAnsi="新宋体"/>
                <w:color w:val="auto"/>
                <w:sz w:val="21"/>
                <w:szCs w:val="21"/>
              </w:rPr>
            </w:pPr>
            <w:r w:rsidRPr="0060041A">
              <w:rPr>
                <w:rFonts w:ascii="新宋体" w:eastAsia="新宋体" w:hAnsi="新宋体" w:hint="eastAsia"/>
                <w:color w:val="auto"/>
                <w:sz w:val="21"/>
                <w:szCs w:val="21"/>
              </w:rPr>
              <w:t>其它</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168" w:lineRule="atLeast"/>
              <w:rPr>
                <w:rFonts w:ascii="新宋体" w:eastAsia="新宋体" w:hAnsi="新宋体"/>
                <w:b/>
                <w:color w:val="auto"/>
                <w:sz w:val="21"/>
                <w:szCs w:val="21"/>
              </w:rPr>
            </w:pPr>
            <w:r w:rsidRPr="0060041A">
              <w:rPr>
                <w:rFonts w:ascii="新宋体" w:eastAsia="新宋体" w:hAnsi="新宋体" w:hint="eastAsia"/>
                <w:b/>
                <w:color w:val="auto"/>
                <w:sz w:val="21"/>
                <w:szCs w:val="21"/>
              </w:rPr>
              <w:t>本理财计划不能转让，不能质押。如有变更，以青银理财官网公告为准。</w:t>
            </w:r>
          </w:p>
        </w:tc>
      </w:tr>
      <w:tr w:rsidR="005E39AE" w:rsidRPr="0060041A">
        <w:trPr>
          <w:trHeight w:val="437"/>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143" w:lineRule="atLeast"/>
              <w:jc w:val="center"/>
              <w:rPr>
                <w:rFonts w:ascii="新宋体" w:eastAsia="新宋体" w:hAnsi="新宋体"/>
                <w:color w:val="auto"/>
                <w:sz w:val="21"/>
                <w:szCs w:val="21"/>
              </w:rPr>
            </w:pPr>
            <w:r w:rsidRPr="0060041A">
              <w:rPr>
                <w:rFonts w:ascii="新宋体" w:eastAsia="新宋体" w:hAnsi="新宋体" w:hint="eastAsia"/>
                <w:color w:val="auto"/>
                <w:sz w:val="21"/>
                <w:szCs w:val="21"/>
              </w:rPr>
              <w:t>理财发行人/管理人</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rsidP="00E1339B">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青银理财有限责任公司</w:t>
            </w:r>
          </w:p>
          <w:p w:rsidR="005E39AE" w:rsidRPr="0060041A" w:rsidRDefault="005E39AE" w:rsidP="00E1339B">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负责本理财计划的投资运作和产品管理。</w:t>
            </w:r>
          </w:p>
        </w:tc>
      </w:tr>
      <w:tr w:rsidR="005E39AE" w:rsidRPr="0060041A">
        <w:trPr>
          <w:trHeight w:val="429"/>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143" w:lineRule="atLeast"/>
              <w:jc w:val="center"/>
              <w:rPr>
                <w:rFonts w:ascii="新宋体" w:eastAsia="新宋体" w:hAnsi="新宋体"/>
                <w:color w:val="auto"/>
                <w:sz w:val="21"/>
                <w:szCs w:val="21"/>
              </w:rPr>
            </w:pPr>
            <w:r w:rsidRPr="0060041A">
              <w:rPr>
                <w:rFonts w:ascii="新宋体" w:eastAsia="新宋体" w:hAnsi="新宋体" w:hint="eastAsia"/>
                <w:color w:val="auto"/>
                <w:sz w:val="21"/>
                <w:szCs w:val="21"/>
              </w:rPr>
              <w:t>理财托管人</w:t>
            </w:r>
          </w:p>
        </w:tc>
        <w:tc>
          <w:tcPr>
            <w:tcW w:w="4041" w:type="pct"/>
            <w:tcBorders>
              <w:top w:val="dotted" w:sz="4" w:space="0" w:color="auto"/>
              <w:left w:val="dotted" w:sz="4" w:space="0" w:color="auto"/>
              <w:bottom w:val="dotted" w:sz="4" w:space="0" w:color="auto"/>
              <w:right w:val="dotted" w:sz="4" w:space="0" w:color="auto"/>
            </w:tcBorders>
            <w:vAlign w:val="center"/>
          </w:tcPr>
          <w:p w:rsidR="00FA2FC1" w:rsidRPr="0060041A" w:rsidRDefault="004E6178" w:rsidP="00E1339B">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青岛</w:t>
            </w:r>
            <w:r w:rsidR="00FA2FC1" w:rsidRPr="0060041A">
              <w:rPr>
                <w:rFonts w:ascii="新宋体" w:eastAsia="新宋体" w:hAnsi="新宋体" w:hint="eastAsia"/>
                <w:color w:val="auto"/>
                <w:sz w:val="21"/>
                <w:szCs w:val="21"/>
              </w:rPr>
              <w:t>银行股份有限公司</w:t>
            </w:r>
          </w:p>
          <w:p w:rsidR="005E39AE" w:rsidRPr="0060041A" w:rsidRDefault="005E39AE" w:rsidP="00E1339B">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负责履行法律法规和托管协议约定的各项职责，包括理财产品的资产保管、资金的清算交割、账务的处理及核对、理财产品净值的复核，以及投资运作的监督等职责。</w:t>
            </w:r>
          </w:p>
        </w:tc>
      </w:tr>
      <w:tr w:rsidR="005E39AE" w:rsidRPr="0060041A">
        <w:trPr>
          <w:trHeight w:val="429"/>
        </w:trPr>
        <w:tc>
          <w:tcPr>
            <w:tcW w:w="959"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143" w:lineRule="atLeast"/>
              <w:jc w:val="center"/>
              <w:rPr>
                <w:rFonts w:ascii="新宋体" w:eastAsia="新宋体" w:hAnsi="新宋体"/>
                <w:color w:val="auto"/>
                <w:sz w:val="21"/>
                <w:szCs w:val="21"/>
              </w:rPr>
            </w:pPr>
            <w:r w:rsidRPr="0060041A">
              <w:rPr>
                <w:rFonts w:ascii="新宋体" w:eastAsia="新宋体" w:hAnsi="新宋体" w:hint="eastAsia"/>
                <w:color w:val="auto"/>
                <w:sz w:val="21"/>
                <w:szCs w:val="21"/>
              </w:rPr>
              <w:t>理财投资合作机构</w:t>
            </w:r>
          </w:p>
        </w:tc>
        <w:tc>
          <w:tcPr>
            <w:tcW w:w="4041" w:type="pct"/>
            <w:tcBorders>
              <w:top w:val="dotted" w:sz="4" w:space="0" w:color="auto"/>
              <w:left w:val="dotted" w:sz="4" w:space="0" w:color="auto"/>
              <w:bottom w:val="dotted" w:sz="4" w:space="0" w:color="auto"/>
              <w:right w:val="dotted" w:sz="4" w:space="0" w:color="auto"/>
            </w:tcBorders>
            <w:vAlign w:val="center"/>
          </w:tcPr>
          <w:p w:rsidR="005E39AE" w:rsidRPr="0060041A" w:rsidRDefault="005E39AE">
            <w:pPr>
              <w:spacing w:line="360" w:lineRule="auto"/>
              <w:rPr>
                <w:rFonts w:ascii="新宋体" w:eastAsia="新宋体" w:hAnsi="新宋体"/>
                <w:color w:val="auto"/>
                <w:sz w:val="21"/>
                <w:szCs w:val="21"/>
              </w:rPr>
            </w:pPr>
            <w:r w:rsidRPr="0060041A">
              <w:rPr>
                <w:rFonts w:ascii="新宋体" w:eastAsia="新宋体" w:hAnsi="新宋体" w:hint="eastAsia"/>
                <w:color w:val="auto"/>
                <w:sz w:val="21"/>
                <w:szCs w:val="21"/>
              </w:rPr>
              <w:t>合同约定从事理财产品受托投资的机构等。</w:t>
            </w:r>
          </w:p>
          <w:p w:rsidR="005E39AE" w:rsidRPr="0060041A" w:rsidRDefault="005E39AE">
            <w:pPr>
              <w:spacing w:line="143" w:lineRule="atLeast"/>
              <w:rPr>
                <w:rFonts w:ascii="新宋体" w:eastAsia="新宋体" w:hAnsi="新宋体"/>
                <w:color w:val="auto"/>
                <w:sz w:val="21"/>
                <w:szCs w:val="21"/>
              </w:rPr>
            </w:pPr>
            <w:r w:rsidRPr="0060041A">
              <w:rPr>
                <w:rFonts w:ascii="新宋体" w:eastAsia="新宋体" w:hAnsi="新宋体" w:hint="eastAsia"/>
                <w:color w:val="auto"/>
                <w:sz w:val="21"/>
                <w:szCs w:val="21"/>
              </w:rPr>
              <w:t>负责进行受托资金的投资管理，具体以管理人与投资合作机构签署的合同为准。</w:t>
            </w:r>
          </w:p>
        </w:tc>
      </w:tr>
    </w:tbl>
    <w:p w:rsidR="005E39AE" w:rsidRPr="0060041A" w:rsidRDefault="005E39AE">
      <w:pPr>
        <w:snapToGrid w:val="0"/>
        <w:spacing w:line="360" w:lineRule="auto"/>
        <w:ind w:left="482"/>
        <w:rPr>
          <w:rFonts w:ascii="新宋体" w:eastAsia="新宋体" w:hAnsi="新宋体"/>
          <w:b/>
          <w:color w:val="auto"/>
          <w:sz w:val="21"/>
          <w:szCs w:val="21"/>
        </w:rPr>
      </w:pPr>
    </w:p>
    <w:p w:rsidR="00D5513D" w:rsidRPr="0060041A" w:rsidRDefault="00D5513D">
      <w:pPr>
        <w:snapToGrid w:val="0"/>
        <w:spacing w:line="360" w:lineRule="auto"/>
        <w:ind w:left="482"/>
        <w:rPr>
          <w:rFonts w:ascii="新宋体" w:eastAsia="新宋体" w:hAnsi="新宋体"/>
          <w:b/>
          <w:color w:val="auto"/>
          <w:sz w:val="21"/>
          <w:szCs w:val="21"/>
        </w:rPr>
      </w:pPr>
    </w:p>
    <w:p w:rsidR="005E39AE" w:rsidRPr="0060041A" w:rsidRDefault="005E39AE">
      <w:pPr>
        <w:snapToGrid w:val="0"/>
        <w:spacing w:line="360" w:lineRule="auto"/>
        <w:ind w:firstLineChars="196" w:firstLine="413"/>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三、产品投资对象</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本理财计划由青银理财自行管理运作，投资性质属</w:t>
      </w:r>
      <w:r w:rsidRPr="0060041A">
        <w:rPr>
          <w:rFonts w:ascii="新宋体" w:eastAsia="新宋体" w:hAnsi="新宋体" w:hint="eastAsia"/>
          <w:b/>
          <w:color w:val="auto"/>
          <w:sz w:val="21"/>
          <w:szCs w:val="21"/>
        </w:rPr>
        <w:t>固定收益类</w:t>
      </w:r>
      <w:r w:rsidRPr="0060041A">
        <w:rPr>
          <w:rFonts w:ascii="新宋体" w:eastAsia="新宋体" w:hAnsi="新宋体" w:hint="eastAsia"/>
          <w:color w:val="auto"/>
          <w:sz w:val="21"/>
          <w:szCs w:val="21"/>
        </w:rPr>
        <w:t>，通过直接或间接的方式，投资于符合监管要求的金融工具，投资对象主要包括：</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现金；期限在1年以内（含1年）的银行存款、债券回购、中央银行票据、同业存单；剩余期限在397天以内（含397天）的债券、在银行间市场和证券交易所市场发行的资产支持证券；国家金融监督管理总局（原银保监会）、中国人民银行认可的其他具有良好流动性的货币市场工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5E39AE" w:rsidRPr="0060041A">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资产类型</w:t>
            </w:r>
          </w:p>
        </w:tc>
        <w:tc>
          <w:tcPr>
            <w:tcW w:w="3060" w:type="dxa"/>
            <w:tcBorders>
              <w:top w:val="single" w:sz="4" w:space="0" w:color="auto"/>
              <w:left w:val="single" w:sz="4" w:space="0" w:color="auto"/>
              <w:bottom w:val="single" w:sz="4" w:space="0" w:color="auto"/>
              <w:right w:val="single" w:sz="4" w:space="0" w:color="auto"/>
            </w:tcBorders>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投资比例</w:t>
            </w:r>
          </w:p>
        </w:tc>
      </w:tr>
      <w:tr w:rsidR="005E39AE" w:rsidRPr="0060041A">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5E39AE" w:rsidRPr="0060041A" w:rsidRDefault="005E39AE" w:rsidP="00D5513D">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0-</w:t>
            </w:r>
            <w:r w:rsidR="00D5513D" w:rsidRPr="0060041A">
              <w:rPr>
                <w:rFonts w:ascii="新宋体" w:eastAsia="新宋体" w:hAnsi="新宋体"/>
                <w:color w:val="auto"/>
                <w:sz w:val="21"/>
                <w:szCs w:val="21"/>
              </w:rPr>
              <w:t>95</w:t>
            </w:r>
            <w:r w:rsidRPr="0060041A">
              <w:rPr>
                <w:rFonts w:ascii="新宋体" w:eastAsia="新宋体" w:hAnsi="新宋体" w:hint="eastAsia"/>
                <w:color w:val="auto"/>
                <w:sz w:val="21"/>
                <w:szCs w:val="21"/>
              </w:rPr>
              <w:t>%</w:t>
            </w:r>
          </w:p>
        </w:tc>
      </w:tr>
      <w:tr w:rsidR="005E39AE" w:rsidRPr="0060041A">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E39AE" w:rsidRPr="0060041A" w:rsidRDefault="005E39AE">
            <w:pPr>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5E39AE" w:rsidRPr="0060041A" w:rsidRDefault="00D5513D">
            <w:pPr>
              <w:spacing w:line="360" w:lineRule="auto"/>
              <w:jc w:val="center"/>
              <w:rPr>
                <w:rFonts w:ascii="新宋体" w:eastAsia="新宋体" w:hAnsi="新宋体"/>
                <w:color w:val="auto"/>
                <w:sz w:val="21"/>
                <w:szCs w:val="21"/>
              </w:rPr>
            </w:pPr>
            <w:r w:rsidRPr="0060041A">
              <w:rPr>
                <w:rFonts w:ascii="新宋体" w:eastAsia="新宋体" w:hAnsi="新宋体"/>
                <w:color w:val="auto"/>
                <w:sz w:val="21"/>
                <w:szCs w:val="21"/>
              </w:rPr>
              <w:t>0</w:t>
            </w:r>
            <w:r w:rsidR="005E39AE" w:rsidRPr="0060041A">
              <w:rPr>
                <w:rFonts w:ascii="新宋体" w:eastAsia="新宋体" w:hAnsi="新宋体" w:hint="eastAsia"/>
                <w:color w:val="auto"/>
                <w:sz w:val="21"/>
                <w:szCs w:val="21"/>
              </w:rPr>
              <w:t>-</w:t>
            </w:r>
            <w:r w:rsidR="005E39AE" w:rsidRPr="0060041A">
              <w:rPr>
                <w:rFonts w:ascii="新宋体" w:eastAsia="新宋体" w:hAnsi="新宋体"/>
                <w:color w:val="auto"/>
                <w:sz w:val="21"/>
                <w:szCs w:val="21"/>
              </w:rPr>
              <w:t>100</w:t>
            </w:r>
            <w:r w:rsidR="005E39AE" w:rsidRPr="0060041A">
              <w:rPr>
                <w:rFonts w:ascii="新宋体" w:eastAsia="新宋体" w:hAnsi="新宋体" w:hint="eastAsia"/>
                <w:color w:val="auto"/>
                <w:sz w:val="21"/>
                <w:szCs w:val="21"/>
              </w:rPr>
              <w:t>%</w:t>
            </w:r>
          </w:p>
        </w:tc>
      </w:tr>
    </w:tbl>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产品管理人应当自产品成立日起</w:t>
      </w:r>
      <w:r w:rsidRPr="0060041A">
        <w:rPr>
          <w:rFonts w:ascii="新宋体" w:eastAsia="新宋体" w:hAnsi="新宋体"/>
          <w:b/>
          <w:color w:val="auto"/>
          <w:sz w:val="21"/>
          <w:szCs w:val="21"/>
        </w:rPr>
        <w:t>3</w:t>
      </w:r>
      <w:r w:rsidRPr="0060041A">
        <w:rPr>
          <w:rFonts w:ascii="新宋体" w:eastAsia="新宋体" w:hAnsi="新宋体" w:hint="eastAsia"/>
          <w:b/>
          <w:color w:val="auto"/>
          <w:sz w:val="21"/>
          <w:szCs w:val="21"/>
        </w:rPr>
        <w:t>个月内使产品的投资比例、投资限制符合本说明书的有关约定。上述期间内，本产品的投资范围应当符合本说明书的约定。理财产品开放期内可能因市场的重大变化导致投资范围、比例等暂时超出如上区间。非因管理人主观因素导致突破前述比例限制的，管理人应当在流动性受限资产可出售、可转让或者恢复交易的</w:t>
      </w:r>
      <w:r w:rsidRPr="0060041A">
        <w:rPr>
          <w:rFonts w:ascii="新宋体" w:eastAsia="新宋体" w:hAnsi="新宋体"/>
          <w:b/>
          <w:color w:val="auto"/>
          <w:sz w:val="21"/>
          <w:szCs w:val="21"/>
        </w:rPr>
        <w:t>15个交易日内将理财产品投资比例调整至符合要求，国务院银行业监督管理机构规定的特殊情形除外。</w:t>
      </w:r>
    </w:p>
    <w:p w:rsidR="005E39AE" w:rsidRPr="0060041A" w:rsidRDefault="005E39AE">
      <w:pPr>
        <w:snapToGrid w:val="0"/>
        <w:spacing w:line="360" w:lineRule="auto"/>
        <w:ind w:firstLineChars="200" w:firstLine="422"/>
        <w:jc w:val="left"/>
        <w:rPr>
          <w:rFonts w:ascii="新宋体" w:eastAsia="新宋体" w:hAnsi="新宋体"/>
          <w:b/>
          <w:sz w:val="21"/>
          <w:szCs w:val="21"/>
        </w:rPr>
      </w:pPr>
      <w:r w:rsidRPr="0060041A">
        <w:rPr>
          <w:rFonts w:ascii="新宋体" w:eastAsia="新宋体" w:hAnsi="新宋体" w:hint="eastAsia"/>
          <w:b/>
          <w:sz w:val="21"/>
          <w:szCs w:val="21"/>
        </w:rPr>
        <w:t>青银理财有权根据市场情况，以客户利益最大化为原则，对本理财的投资范围、投资品种和投资比例的上限进行调整。调整前，青银理财最迟提前2个工作日在青银理财官网发布公告。如投资者不接受调整</w:t>
      </w:r>
      <w:r w:rsidRPr="0060041A">
        <w:rPr>
          <w:rFonts w:ascii="新宋体" w:eastAsia="新宋体" w:hAnsi="新宋体"/>
          <w:b/>
          <w:sz w:val="21"/>
          <w:szCs w:val="21"/>
        </w:rPr>
        <w:t>，则应及时通过销售服务机构营业网点或网上销售平台赎回本产品，若本产品投资者未赎回本产品，则视为本理财产品投资者对相关调整无异议并同意继续持有本理财产品。进行上述调整时，除高风险类型的理财产品超出比例范围投资较低风险资产外，产品管理人将事先取得投资者书面同意。</w:t>
      </w:r>
    </w:p>
    <w:p w:rsidR="005E39AE" w:rsidRPr="0060041A" w:rsidRDefault="005E39AE">
      <w:pPr>
        <w:numPr>
          <w:ilvl w:val="0"/>
          <w:numId w:val="2"/>
        </w:numPr>
        <w:snapToGrid w:val="0"/>
        <w:spacing w:line="360" w:lineRule="auto"/>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产品投资限制</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1.本产品不得投资于股票，可转换债券、可交换债券，以定期存款利率为基准利率的浮动利率债券（已进入最后一个利率调整期的除外），信用等级在</w:t>
      </w:r>
      <w:r w:rsidRPr="0060041A">
        <w:rPr>
          <w:rFonts w:ascii="新宋体" w:eastAsia="新宋体" w:hAnsi="新宋体"/>
          <w:color w:val="auto"/>
          <w:sz w:val="21"/>
          <w:szCs w:val="21"/>
        </w:rPr>
        <w:t>AA+以下的债券、资产支持证券</w:t>
      </w:r>
      <w:r w:rsidRPr="0060041A">
        <w:rPr>
          <w:rFonts w:ascii="新宋体" w:eastAsia="新宋体" w:hAnsi="新宋体" w:hint="eastAsia"/>
          <w:color w:val="auto"/>
          <w:sz w:val="21"/>
          <w:szCs w:val="21"/>
        </w:rPr>
        <w:t>，国家金融监督管理总局（原银保监会）、中国人民银行禁止投资的其他金融工具。</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本产品投资于同一机构发行的债券及其作为原始权益人的资产支持证券的比例合计不得超过该产品资产净值的</w:t>
      </w:r>
      <w:r w:rsidRPr="0060041A">
        <w:rPr>
          <w:rFonts w:ascii="新宋体" w:eastAsia="新宋体" w:hAnsi="新宋体"/>
          <w:color w:val="auto"/>
          <w:sz w:val="21"/>
          <w:szCs w:val="21"/>
        </w:rPr>
        <w:t>10%，投资于国债、中央银行票据、政策性金融债券的除外</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3</w:t>
      </w:r>
      <w:r w:rsidRPr="0060041A">
        <w:rPr>
          <w:rFonts w:ascii="新宋体" w:eastAsia="新宋体" w:hAnsi="新宋体" w:hint="eastAsia"/>
          <w:color w:val="auto"/>
          <w:sz w:val="21"/>
          <w:szCs w:val="21"/>
        </w:rPr>
        <w:t>.本产品投资于所有主体信用评级低于</w:t>
      </w:r>
      <w:r w:rsidRPr="0060041A">
        <w:rPr>
          <w:rFonts w:ascii="新宋体" w:eastAsia="新宋体" w:hAnsi="新宋体"/>
          <w:color w:val="auto"/>
          <w:sz w:val="21"/>
          <w:szCs w:val="21"/>
        </w:rPr>
        <w:t>AAA的机构发行的金融工具的比例合计不得超过该产品资产净值的10%，其中单一机构发行的金融工具的比例合计不得超过该产品资产净值的2%；本款所称金融工具包括债券、银行存款、同业存单、相关机构作为原始权益人的资产支持证券及</w:t>
      </w:r>
      <w:r w:rsidRPr="0060041A">
        <w:rPr>
          <w:rFonts w:ascii="新宋体" w:eastAsia="新宋体" w:hAnsi="新宋体" w:hint="eastAsia"/>
          <w:color w:val="auto"/>
          <w:sz w:val="21"/>
          <w:szCs w:val="21"/>
        </w:rPr>
        <w:t>国家金融监督管理总局（原银保监会）</w:t>
      </w:r>
      <w:r w:rsidRPr="0060041A">
        <w:rPr>
          <w:rFonts w:ascii="新宋体" w:eastAsia="新宋体" w:hAnsi="新宋体"/>
          <w:color w:val="auto"/>
          <w:sz w:val="21"/>
          <w:szCs w:val="21"/>
        </w:rPr>
        <w:t>认可的其他金融工具。</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4.</w:t>
      </w:r>
      <w:r w:rsidRPr="0060041A">
        <w:rPr>
          <w:rFonts w:ascii="新宋体" w:eastAsia="新宋体" w:hAnsi="新宋体" w:hint="eastAsia"/>
          <w:color w:val="auto"/>
          <w:sz w:val="21"/>
          <w:szCs w:val="21"/>
        </w:rPr>
        <w:t>本产品投资于有固定期限银行存款的比例合计不得超过该产品资产净值的</w:t>
      </w:r>
      <w:r w:rsidRPr="0060041A">
        <w:rPr>
          <w:rFonts w:ascii="新宋体" w:eastAsia="新宋体" w:hAnsi="新宋体"/>
          <w:color w:val="auto"/>
          <w:sz w:val="21"/>
          <w:szCs w:val="21"/>
        </w:rPr>
        <w:t>30%，投资于有存款期限，根据协议可提前支取的银行存款除外；</w:t>
      </w:r>
      <w:r w:rsidRPr="0060041A">
        <w:rPr>
          <w:rFonts w:ascii="新宋体" w:eastAsia="新宋体" w:hAnsi="新宋体" w:hint="eastAsia"/>
          <w:color w:val="auto"/>
          <w:sz w:val="21"/>
          <w:szCs w:val="21"/>
        </w:rPr>
        <w:t>本</w:t>
      </w:r>
      <w:r w:rsidRPr="0060041A">
        <w:rPr>
          <w:rFonts w:ascii="新宋体" w:eastAsia="新宋体" w:hAnsi="新宋体"/>
          <w:color w:val="auto"/>
          <w:sz w:val="21"/>
          <w:szCs w:val="21"/>
        </w:rPr>
        <w:t>产品投资于主体信用评级为AAA的同一商业银行的银行存款、同业存单占该产品资产净值的比例合计不得超过20%。</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5</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管理人全部现金管理类产品投资于同一商业银行的存款、同业存单和债券，不得超过该商业银行最近一个季度末净资产的</w:t>
      </w:r>
      <w:r w:rsidRPr="0060041A">
        <w:rPr>
          <w:rFonts w:ascii="新宋体" w:eastAsia="新宋体" w:hAnsi="新宋体"/>
          <w:color w:val="auto"/>
          <w:sz w:val="21"/>
          <w:szCs w:val="21"/>
        </w:rPr>
        <w:t>10%</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6.</w:t>
      </w:r>
      <w:r w:rsidRPr="0060041A">
        <w:rPr>
          <w:rFonts w:ascii="新宋体" w:eastAsia="新宋体" w:hAnsi="新宋体" w:hint="eastAsia"/>
          <w:color w:val="auto"/>
          <w:sz w:val="21"/>
          <w:szCs w:val="21"/>
        </w:rPr>
        <w:t>本产品拟投资于主体信用评级低于</w:t>
      </w:r>
      <w:r w:rsidRPr="0060041A">
        <w:rPr>
          <w:rFonts w:ascii="新宋体" w:eastAsia="新宋体" w:hAnsi="新宋体"/>
          <w:color w:val="auto"/>
          <w:sz w:val="21"/>
          <w:szCs w:val="21"/>
        </w:rPr>
        <w:t>AA+的商业银行的银行存款与同业存单的，应当经</w:t>
      </w:r>
      <w:r w:rsidRPr="0060041A">
        <w:rPr>
          <w:rFonts w:ascii="新宋体" w:eastAsia="新宋体" w:hAnsi="新宋体" w:hint="eastAsia"/>
          <w:color w:val="auto"/>
          <w:sz w:val="21"/>
          <w:szCs w:val="21"/>
        </w:rPr>
        <w:t>管理人</w:t>
      </w:r>
      <w:r w:rsidRPr="0060041A">
        <w:rPr>
          <w:rFonts w:ascii="新宋体" w:eastAsia="新宋体" w:hAnsi="新宋体"/>
          <w:color w:val="auto"/>
          <w:sz w:val="21"/>
          <w:szCs w:val="21"/>
        </w:rPr>
        <w:t>董事会审议批准，相关交易应当事先告知托管机构，并作为重大事项履行信息披露程序。</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7.</w:t>
      </w:r>
      <w:r w:rsidRPr="0060041A">
        <w:rPr>
          <w:rFonts w:ascii="新宋体" w:eastAsia="新宋体" w:hAnsi="新宋体" w:hint="eastAsia"/>
          <w:color w:val="auto"/>
          <w:sz w:val="21"/>
          <w:szCs w:val="21"/>
        </w:rPr>
        <w:t>本产品投资总资产不超过净资产的</w:t>
      </w:r>
      <w:r w:rsidRPr="0060041A">
        <w:rPr>
          <w:rFonts w:ascii="新宋体" w:eastAsia="新宋体" w:hAnsi="新宋体"/>
          <w:color w:val="auto"/>
          <w:sz w:val="21"/>
          <w:szCs w:val="21"/>
        </w:rPr>
        <w:t>12</w:t>
      </w:r>
      <w:r w:rsidRPr="0060041A">
        <w:rPr>
          <w:rFonts w:ascii="新宋体" w:eastAsia="新宋体" w:hAnsi="新宋体" w:hint="eastAsia"/>
          <w:color w:val="auto"/>
          <w:sz w:val="21"/>
          <w:szCs w:val="21"/>
        </w:rPr>
        <w:t>0%，发生触发赎回上限、连续</w:t>
      </w:r>
      <w:r w:rsidRPr="0060041A">
        <w:rPr>
          <w:rFonts w:ascii="新宋体" w:eastAsia="新宋体" w:hAnsi="新宋体"/>
          <w:color w:val="auto"/>
          <w:sz w:val="21"/>
          <w:szCs w:val="21"/>
        </w:rPr>
        <w:t>3个交易日累计赎回20%以上或者连续5个交易日累计赎回30%以上的情形除外</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8.</w:t>
      </w:r>
      <w:r w:rsidRPr="0060041A">
        <w:rPr>
          <w:rFonts w:ascii="新宋体" w:eastAsia="新宋体" w:hAnsi="新宋体" w:hint="eastAsia"/>
          <w:color w:val="auto"/>
          <w:sz w:val="21"/>
          <w:szCs w:val="21"/>
        </w:rPr>
        <w:t>本产品持有不低于该产品资产净值</w:t>
      </w:r>
      <w:r w:rsidRPr="0060041A">
        <w:rPr>
          <w:rFonts w:ascii="新宋体" w:eastAsia="新宋体" w:hAnsi="新宋体"/>
          <w:color w:val="auto"/>
          <w:sz w:val="21"/>
          <w:szCs w:val="21"/>
        </w:rPr>
        <w:t>10%的现金、国债、中央银行票据、政策性金融债券以及五个交易日内到期的其他金融工具</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9.</w:t>
      </w:r>
      <w:r w:rsidRPr="0060041A">
        <w:rPr>
          <w:rFonts w:ascii="新宋体" w:eastAsia="新宋体" w:hAnsi="新宋体" w:hint="eastAsia"/>
          <w:color w:val="auto"/>
          <w:sz w:val="21"/>
          <w:szCs w:val="21"/>
        </w:rPr>
        <w:t>本产品在开放日前一工作日内，持有的</w:t>
      </w:r>
      <w:r w:rsidRPr="0060041A">
        <w:rPr>
          <w:rFonts w:ascii="新宋体" w:eastAsia="新宋体" w:hAnsi="新宋体"/>
          <w:color w:val="auto"/>
          <w:sz w:val="21"/>
          <w:szCs w:val="21"/>
        </w:rPr>
        <w:t>7个工作日可变现资产的可变现价值应当不低于该产品资产净值的10%。</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10.</w:t>
      </w:r>
      <w:r w:rsidRPr="0060041A">
        <w:rPr>
          <w:rFonts w:ascii="新宋体" w:eastAsia="新宋体" w:hAnsi="新宋体" w:hint="eastAsia"/>
          <w:color w:val="auto"/>
          <w:sz w:val="21"/>
          <w:szCs w:val="21"/>
        </w:rPr>
        <w:t>本产品持有不低于该产品资产净值</w:t>
      </w:r>
      <w:r w:rsidRPr="0060041A">
        <w:rPr>
          <w:rFonts w:ascii="新宋体" w:eastAsia="新宋体" w:hAnsi="新宋体"/>
          <w:color w:val="auto"/>
          <w:sz w:val="21"/>
          <w:szCs w:val="21"/>
        </w:rPr>
        <w:t>5%的现金、国债、中央银行票据、政策性金融债券</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11.</w:t>
      </w:r>
      <w:r w:rsidRPr="0060041A">
        <w:rPr>
          <w:rFonts w:ascii="新宋体" w:eastAsia="新宋体" w:hAnsi="新宋体" w:hint="eastAsia"/>
          <w:color w:val="auto"/>
          <w:sz w:val="21"/>
          <w:szCs w:val="21"/>
        </w:rPr>
        <w:t>本产品投资到期日在</w:t>
      </w:r>
      <w:r w:rsidRPr="0060041A">
        <w:rPr>
          <w:rFonts w:ascii="新宋体" w:eastAsia="新宋体" w:hAnsi="新宋体"/>
          <w:color w:val="auto"/>
          <w:sz w:val="21"/>
          <w:szCs w:val="21"/>
        </w:rPr>
        <w:t>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本产品投资组合的平均剩余期限不得超过</w:t>
      </w:r>
      <w:r w:rsidRPr="0060041A">
        <w:rPr>
          <w:rFonts w:ascii="新宋体" w:eastAsia="新宋体" w:hAnsi="新宋体"/>
          <w:color w:val="auto"/>
          <w:sz w:val="21"/>
          <w:szCs w:val="21"/>
        </w:rPr>
        <w:t>120天，平均剩余存续期限不得超过240天。</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w:t>
      </w:r>
      <w:r w:rsidRPr="0060041A">
        <w:rPr>
          <w:rFonts w:ascii="新宋体" w:eastAsia="新宋体" w:hAnsi="新宋体"/>
          <w:color w:val="auto"/>
          <w:sz w:val="21"/>
          <w:szCs w:val="21"/>
        </w:rPr>
        <w:t>3.</w:t>
      </w:r>
      <w:r w:rsidRPr="0060041A">
        <w:rPr>
          <w:rFonts w:ascii="新宋体" w:eastAsia="新宋体" w:hAnsi="新宋体" w:hint="eastAsia"/>
          <w:color w:val="auto"/>
          <w:sz w:val="21"/>
          <w:szCs w:val="21"/>
        </w:rPr>
        <w:t>管理人应根据投资者集中度情况对投资组合调整，并遵守以下要求：</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（1）当前</w:t>
      </w:r>
      <w:r w:rsidRPr="0060041A">
        <w:rPr>
          <w:rFonts w:ascii="新宋体" w:eastAsia="新宋体" w:hAnsi="新宋体"/>
          <w:color w:val="auto"/>
          <w:sz w:val="21"/>
          <w:szCs w:val="21"/>
        </w:rPr>
        <w:t>10名投资者的持有份额合计超过现金管理类产品总份额的50%时，投资组合的平均剩余期限不得超过60天，平均剩余存续期限不得超过120天，投资组合中现金、国债、中央银行票据、政策性金融债券以及5个交易日内到期的其他金融工具占该产品资产净值的比例合计不得低于30%；</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（2）当前</w:t>
      </w:r>
      <w:r w:rsidRPr="0060041A">
        <w:rPr>
          <w:rFonts w:ascii="新宋体" w:eastAsia="新宋体" w:hAnsi="新宋体"/>
          <w:color w:val="auto"/>
          <w:sz w:val="21"/>
          <w:szCs w:val="21"/>
        </w:rPr>
        <w:t>10名投资者的持有份额合计超过现金管理类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14</w:t>
      </w:r>
      <w:r w:rsidRPr="0060041A">
        <w:rPr>
          <w:rFonts w:ascii="新宋体" w:eastAsia="新宋体" w:hAnsi="新宋体" w:hint="eastAsia"/>
          <w:color w:val="auto"/>
          <w:sz w:val="21"/>
          <w:szCs w:val="21"/>
        </w:rPr>
        <w:t>.非管理人主观因素导致突破前款第</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至</w:t>
      </w:r>
      <w:r w:rsidRPr="0060041A">
        <w:rPr>
          <w:rFonts w:ascii="新宋体" w:eastAsia="新宋体" w:hAnsi="新宋体"/>
          <w:color w:val="auto"/>
          <w:sz w:val="21"/>
          <w:szCs w:val="21"/>
        </w:rPr>
        <w:t>8</w:t>
      </w:r>
      <w:r w:rsidRPr="0060041A">
        <w:rPr>
          <w:rFonts w:ascii="新宋体" w:eastAsia="新宋体" w:hAnsi="新宋体" w:hint="eastAsia"/>
          <w:color w:val="auto"/>
          <w:sz w:val="21"/>
          <w:szCs w:val="21"/>
        </w:rPr>
        <w:t>和第1</w:t>
      </w:r>
      <w:r w:rsidRPr="0060041A">
        <w:rPr>
          <w:rFonts w:ascii="新宋体" w:eastAsia="新宋体" w:hAnsi="新宋体"/>
          <w:color w:val="auto"/>
          <w:sz w:val="21"/>
          <w:szCs w:val="21"/>
        </w:rPr>
        <w:t>3</w:t>
      </w:r>
      <w:r w:rsidRPr="0060041A">
        <w:rPr>
          <w:rFonts w:ascii="新宋体" w:eastAsia="新宋体" w:hAnsi="新宋体" w:hint="eastAsia"/>
          <w:color w:val="auto"/>
          <w:sz w:val="21"/>
          <w:szCs w:val="21"/>
        </w:rPr>
        <w:t>项比例限制的，管理人应当在</w:t>
      </w:r>
      <w:r w:rsidRPr="0060041A">
        <w:rPr>
          <w:rFonts w:ascii="新宋体" w:eastAsia="新宋体" w:hAnsi="新宋体"/>
          <w:color w:val="auto"/>
          <w:sz w:val="21"/>
          <w:szCs w:val="21"/>
        </w:rPr>
        <w:t>10个交易日内调整至符合要求。</w:t>
      </w:r>
      <w:r w:rsidRPr="0060041A">
        <w:rPr>
          <w:rFonts w:ascii="新宋体" w:eastAsia="新宋体" w:hAnsi="新宋体" w:hint="eastAsia"/>
          <w:color w:val="auto"/>
          <w:sz w:val="21"/>
          <w:szCs w:val="21"/>
        </w:rPr>
        <w:t>非管理人主观因素导致突破前款第</w:t>
      </w:r>
      <w:r w:rsidRPr="0060041A">
        <w:rPr>
          <w:rFonts w:ascii="新宋体" w:eastAsia="新宋体" w:hAnsi="新宋体"/>
          <w:color w:val="auto"/>
          <w:sz w:val="21"/>
          <w:szCs w:val="21"/>
        </w:rPr>
        <w:t>11</w:t>
      </w:r>
      <w:r w:rsidRPr="0060041A">
        <w:rPr>
          <w:rFonts w:ascii="新宋体" w:eastAsia="新宋体" w:hAnsi="新宋体" w:hint="eastAsia"/>
          <w:color w:val="auto"/>
          <w:sz w:val="21"/>
          <w:szCs w:val="21"/>
        </w:rPr>
        <w:t>项比例限制的，管理人不得主动新增流动性受限资产的投资。</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15.以上限制，如监管有最新规定的，可参照监管规定调整。</w:t>
      </w:r>
    </w:p>
    <w:p w:rsidR="005E39AE" w:rsidRPr="0060041A" w:rsidRDefault="005E39AE">
      <w:pPr>
        <w:snapToGrid w:val="0"/>
        <w:spacing w:line="360" w:lineRule="auto"/>
        <w:ind w:firstLineChars="196" w:firstLine="413"/>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五、</w:t>
      </w:r>
      <w:r w:rsidRPr="0060041A">
        <w:rPr>
          <w:rFonts w:ascii="新宋体" w:eastAsia="新宋体" w:hAnsi="新宋体"/>
          <w:b/>
          <w:color w:val="auto"/>
          <w:sz w:val="21"/>
          <w:szCs w:val="21"/>
        </w:rPr>
        <w:tab/>
        <w:t>理财管理人</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本理财计划的投资管理人为青银理财。青银理财负责本理财计划的投资运作和产品管理，投资者在此授权并同意青银理财享有以下权利：</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1.按照本理财计划文件的约定，管理、运用和处分理财计划资金；</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2.按照本理财计划文件的约定，及时、足额获得管理费和本《产品说明书》 约定的其他费用（如有） ；</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3.管理人以其固有财产先行垫付因处理本理财计划相关事务所支出的理财计划费用及税费的 ，对理财计划资金享有优先受偿的权利；</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4.管理人有权根据本理财计划文件的约定提前终止或延长本理财计划的期限；</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6.管理人有权按照法律规定和监管机构的要求将投资者的信息向有权部门或相关机构披露；</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9.在法律法规、监管政策允许的前提下调整估值日。</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10.法律法规、监管政策和本理财计划文件约定的其他权利。</w:t>
      </w:r>
    </w:p>
    <w:p w:rsidR="005E39AE" w:rsidRPr="0060041A" w:rsidRDefault="005E39AE">
      <w:pPr>
        <w:snapToGrid w:val="0"/>
        <w:spacing w:line="360" w:lineRule="auto"/>
        <w:ind w:firstLineChars="196" w:firstLine="413"/>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六、</w:t>
      </w:r>
      <w:r w:rsidRPr="0060041A">
        <w:rPr>
          <w:rFonts w:ascii="新宋体" w:eastAsia="新宋体" w:hAnsi="新宋体"/>
          <w:b/>
          <w:color w:val="auto"/>
          <w:sz w:val="21"/>
          <w:szCs w:val="21"/>
        </w:rPr>
        <w:tab/>
        <w:t>托管人</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1.托管人基本信息</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本理财产品的</w:t>
      </w:r>
      <w:r w:rsidR="00F2438A" w:rsidRPr="0060041A">
        <w:rPr>
          <w:rFonts w:ascii="新宋体" w:eastAsia="新宋体" w:hAnsi="新宋体" w:hint="eastAsia"/>
          <w:color w:val="auto"/>
          <w:sz w:val="21"/>
          <w:szCs w:val="21"/>
        </w:rPr>
        <w:t>托管人为【</w:t>
      </w:r>
      <w:r w:rsidR="004E6178">
        <w:rPr>
          <w:rFonts w:ascii="新宋体" w:eastAsia="新宋体" w:hAnsi="新宋体" w:hint="eastAsia"/>
          <w:color w:val="auto"/>
          <w:sz w:val="21"/>
          <w:szCs w:val="21"/>
        </w:rPr>
        <w:t>青岛</w:t>
      </w:r>
      <w:r w:rsidR="007D5939" w:rsidRPr="0060041A">
        <w:rPr>
          <w:rFonts w:ascii="新宋体" w:eastAsia="新宋体" w:hAnsi="新宋体" w:hint="eastAsia"/>
          <w:color w:val="auto"/>
          <w:sz w:val="21"/>
          <w:szCs w:val="21"/>
        </w:rPr>
        <w:t>银行</w:t>
      </w:r>
      <w:r w:rsidR="00FA2FC1" w:rsidRPr="0060041A">
        <w:rPr>
          <w:rFonts w:ascii="新宋体" w:eastAsia="新宋体" w:hAnsi="新宋体" w:hint="eastAsia"/>
          <w:color w:val="auto"/>
          <w:sz w:val="21"/>
          <w:szCs w:val="21"/>
        </w:rPr>
        <w:t>股份有限公司</w:t>
      </w: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 xml:space="preserve"> </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color w:val="auto"/>
          <w:sz w:val="21"/>
          <w:szCs w:val="21"/>
        </w:rPr>
        <w:t>2.托管人职责</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本理财产品托管人应当履行下列职责，确保实现实质性独立托管：</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1）安全保管理财产品财产；</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2）为每只理财产品开设独立的托管账户，不同托管账户中的资产应当相互独立；</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3）按照托管协议约定和理财产品管理人的投资指令，及时办理清算、交割 事宜；</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4）建立与理财产品管理人的对账机制，复核、审查理财产品资金头寸、资产账目、资产净值、认购和赎回价格等数据，及时核查认购、赎回以及投资资金的支付和到账情况；</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5）监督理财产品投资运作，发现理财产品违反法律、行政法规、规章规定或合同约定进行投资的，应当拒绝执行，及时通知理财产品管理人并报告银行业监督管理机构；</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7）理财托管业务活动的记录、账册、报表和其他相关资料保存15年以上；</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8）对理财产品投资信息和相关资料承担保密责任，除法律、行政法规、规章规定、审计要求或者合同约定外，不得向任何机构或者个人提供相关信息和资料；</w:t>
      </w:r>
    </w:p>
    <w:p w:rsidR="005E39AE" w:rsidRPr="0060041A" w:rsidRDefault="005E39AE">
      <w:pPr>
        <w:snapToGrid w:val="0"/>
        <w:spacing w:line="360" w:lineRule="auto"/>
        <w:ind w:firstLineChars="196" w:firstLine="412"/>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9）国务院银行业监督管理机构规定的其他职责。</w:t>
      </w:r>
    </w:p>
    <w:p w:rsidR="005E39AE" w:rsidRPr="0060041A" w:rsidRDefault="005E39AE">
      <w:pPr>
        <w:snapToGrid w:val="0"/>
        <w:spacing w:line="360" w:lineRule="auto"/>
        <w:ind w:firstLineChars="196" w:firstLine="413"/>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七、</w:t>
      </w:r>
      <w:r w:rsidRPr="0060041A">
        <w:rPr>
          <w:rFonts w:ascii="新宋体" w:eastAsia="新宋体" w:hAnsi="新宋体"/>
          <w:b/>
          <w:color w:val="auto"/>
          <w:sz w:val="21"/>
          <w:szCs w:val="21"/>
        </w:rPr>
        <w:tab/>
        <w:t>销售服务机构</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本理财产品的销售服务机构后续如有变更以管理人信息披露为准。销售服务</w:t>
      </w:r>
      <w:r w:rsidRPr="0060041A">
        <w:rPr>
          <w:rFonts w:ascii="新宋体" w:eastAsia="新宋体" w:hAnsi="新宋体"/>
          <w:color w:val="auto"/>
          <w:sz w:val="21"/>
          <w:szCs w:val="21"/>
        </w:rPr>
        <w:t>机构及其分支机构提供包括理财计划宣传推广</w:t>
      </w:r>
      <w:r w:rsidRPr="0060041A">
        <w:rPr>
          <w:rFonts w:ascii="新宋体" w:eastAsia="新宋体" w:hAnsi="新宋体" w:hint="eastAsia"/>
          <w:color w:val="auto"/>
          <w:sz w:val="21"/>
          <w:szCs w:val="21"/>
        </w:rPr>
        <w:t>销售</w:t>
      </w:r>
      <w:r w:rsidRPr="0060041A">
        <w:rPr>
          <w:rFonts w:ascii="新宋体" w:eastAsia="新宋体" w:hAnsi="新宋体"/>
          <w:color w:val="auto"/>
          <w:sz w:val="21"/>
          <w:szCs w:val="21"/>
        </w:rPr>
        <w:t>、投资者风险承受能力评估和投资者适当性管理、理财计划份额认购/申购/赎回、协助管理人与投资者订立理财计划合同、协助管理人与投资沟通及进行信息披露、接受投资者咨询和客户维护</w:t>
      </w:r>
      <w:r w:rsidRPr="0060041A">
        <w:rPr>
          <w:rFonts w:ascii="新宋体" w:eastAsia="新宋体" w:hAnsi="新宋体" w:hint="eastAsia"/>
          <w:color w:val="auto"/>
          <w:sz w:val="21"/>
          <w:szCs w:val="21"/>
        </w:rPr>
        <w:t>、落实反洗钱、反恐怖融资及非居民金融账户涉税信息尽职调查、</w:t>
      </w:r>
      <w:r w:rsidRPr="0060041A">
        <w:rPr>
          <w:rFonts w:ascii="新宋体" w:eastAsia="新宋体" w:hAnsi="新宋体"/>
          <w:color w:val="auto"/>
          <w:sz w:val="21"/>
          <w:szCs w:val="21"/>
        </w:rPr>
        <w:t>完整记录和保存销售业务活动信息</w:t>
      </w:r>
      <w:r w:rsidRPr="0060041A">
        <w:rPr>
          <w:rFonts w:ascii="新宋体" w:eastAsia="新宋体" w:hAnsi="新宋体" w:hint="eastAsia"/>
          <w:color w:val="auto"/>
          <w:sz w:val="21"/>
          <w:szCs w:val="21"/>
        </w:rPr>
        <w:t>等义务</w:t>
      </w:r>
      <w:r w:rsidRPr="0060041A">
        <w:rPr>
          <w:rFonts w:ascii="新宋体" w:eastAsia="新宋体" w:hAnsi="新宋体"/>
          <w:color w:val="auto"/>
          <w:sz w:val="21"/>
          <w:szCs w:val="21"/>
        </w:rPr>
        <w:t>等销售服务。</w:t>
      </w:r>
    </w:p>
    <w:p w:rsidR="005E39AE" w:rsidRPr="0060041A" w:rsidRDefault="005E39AE">
      <w:pPr>
        <w:snapToGrid w:val="0"/>
        <w:spacing w:line="360" w:lineRule="auto"/>
        <w:ind w:firstLineChars="200" w:firstLine="422"/>
        <w:jc w:val="left"/>
        <w:rPr>
          <w:rFonts w:ascii="新宋体" w:eastAsia="新宋体" w:hAnsi="新宋体"/>
          <w:color w:val="auto"/>
          <w:sz w:val="21"/>
          <w:szCs w:val="21"/>
        </w:rPr>
      </w:pPr>
      <w:r w:rsidRPr="0060041A">
        <w:rPr>
          <w:rFonts w:ascii="新宋体" w:eastAsia="新宋体" w:hAnsi="新宋体" w:hint="eastAsia"/>
          <w:b/>
          <w:color w:val="auto"/>
          <w:sz w:val="21"/>
          <w:szCs w:val="21"/>
        </w:rPr>
        <w:t>投资者同意，通过电子渠道销售理财产品的，销售服务机构将积极采取有效措施和技术手段完整客观记录营销推介、产品风险和关键信息提示、投资者确认和反馈等重点销售环节，确保能够满足回溯检查和核查取证的需要。</w:t>
      </w:r>
    </w:p>
    <w:p w:rsidR="005E39AE" w:rsidRPr="0060041A" w:rsidRDefault="005E39AE">
      <w:pPr>
        <w:snapToGrid w:val="0"/>
        <w:spacing w:line="360" w:lineRule="auto"/>
        <w:ind w:firstLineChars="196" w:firstLine="413"/>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八、风控措施</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1.风险管理组织架构</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管理人制定了一系列严密有效的风险控制制度，建立和完善对风险的事前防范、事中控制、事后稽查和监察的管理机制。</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2.市场风险管理</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管理人主要通过对国内外宏观经济走势及各项宏观经济政策等要素的分析来把握市场走势和选取投资品种，注重研究的运用，注重风险控制，采取有效措施防范和控制风险。</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3.流动性风险管理</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影响投资者赎回安排，甚至使得本产品遭受损失。</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（2）投资者资金流动性风险：本产品计划存续期间，管理人只能在本产品说明书规定的有效交易时间内为投资者办理申购、赎回确认业务，并在产品说明书描述的规则下确认扣款、资金到账。</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（3）赎回上限情况下的流动性风险：在本理财计划存续期内，若单个开放日净赎回申请份额超过本产品计划上一开放日日终份额的</w:t>
      </w:r>
      <w:r w:rsidRPr="0060041A">
        <w:rPr>
          <w:rFonts w:ascii="新宋体" w:eastAsia="新宋体" w:hAnsi="新宋体"/>
          <w:color w:val="auto"/>
          <w:sz w:val="21"/>
          <w:szCs w:val="21"/>
        </w:rPr>
        <w:t>10</w:t>
      </w:r>
      <w:r w:rsidRPr="0060041A">
        <w:rPr>
          <w:rFonts w:ascii="新宋体" w:eastAsia="新宋体" w:hAnsi="新宋体" w:hint="eastAsia"/>
          <w:color w:val="auto"/>
          <w:sz w:val="21"/>
          <w:szCs w:val="21"/>
        </w:rPr>
        <w:t>%时，即为触发赎回上限。当理财产品触发赎回上限时，管理人有权依照产品当时的资产组合状况选择全额赎回或部分赎回；如出现连续2个开放日以上（含）触发赎回上限，除有权选择全额赎回或部分赎回等措施外，对于已经接受的赎回申请，管理人还可延缓支付赎回款项。发生上述情形时，投资者将面临无法全部赎回或无法及时获得赎回资金的风险，由此可能影响投资者的资金安排，带来流动性风险。在本产品暂停接受或延期办理投资者赎回申请的情况下，投资者未能赎回的产品份额还将面临净值波动的风险。若出现触发赎回上限或连续触发赎回上限，管理人选择运用暂停接受投资者的赎回申请、延期办理赎回申请、延缓支付赎回款项等措施后，在运用相关措施后的3个工作日内按《产品说明书》信息披露相关约定进行信息披露。</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（4）摊余成本法核算下，采用影子定价进行资产净值公允性评估的流动性风险：当影子定价确定的现金管理类产品资产净值与摊余成本法计算的资产净值正偏离度绝对值达到</w:t>
      </w:r>
      <w:r w:rsidRPr="0060041A">
        <w:rPr>
          <w:rFonts w:ascii="新宋体" w:eastAsia="新宋体" w:hAnsi="新宋体"/>
          <w:color w:val="auto"/>
          <w:sz w:val="21"/>
          <w:szCs w:val="21"/>
        </w:rPr>
        <w:t>0.5%时，</w:t>
      </w:r>
      <w:r w:rsidRPr="0060041A">
        <w:rPr>
          <w:rFonts w:ascii="新宋体" w:eastAsia="新宋体" w:hAnsi="新宋体" w:hint="eastAsia"/>
          <w:color w:val="auto"/>
          <w:sz w:val="21"/>
          <w:szCs w:val="21"/>
        </w:rPr>
        <w:t>管理人将</w:t>
      </w:r>
      <w:r w:rsidRPr="0060041A">
        <w:rPr>
          <w:rFonts w:ascii="新宋体" w:eastAsia="新宋体" w:hAnsi="新宋体"/>
          <w:color w:val="auto"/>
          <w:sz w:val="21"/>
          <w:szCs w:val="21"/>
        </w:rPr>
        <w:t>暂停接受认购并在5个</w:t>
      </w:r>
      <w:r w:rsidRPr="0060041A">
        <w:rPr>
          <w:rFonts w:ascii="新宋体" w:eastAsia="新宋体" w:hAnsi="新宋体" w:hint="eastAsia"/>
          <w:color w:val="auto"/>
          <w:sz w:val="21"/>
          <w:szCs w:val="21"/>
        </w:rPr>
        <w:t>工作</w:t>
      </w:r>
      <w:r w:rsidRPr="0060041A">
        <w:rPr>
          <w:rFonts w:ascii="新宋体" w:eastAsia="新宋体" w:hAnsi="新宋体"/>
          <w:color w:val="auto"/>
          <w:sz w:val="21"/>
          <w:szCs w:val="21"/>
        </w:rPr>
        <w:t>日内将正偏离度绝对值调整到0.5%以内。当负偏离度绝对值达到0.25%时，</w:t>
      </w:r>
      <w:r w:rsidRPr="0060041A">
        <w:rPr>
          <w:rFonts w:ascii="新宋体" w:eastAsia="新宋体" w:hAnsi="新宋体" w:hint="eastAsia"/>
          <w:color w:val="auto"/>
          <w:sz w:val="21"/>
          <w:szCs w:val="21"/>
        </w:rPr>
        <w:t>管理人将</w:t>
      </w:r>
      <w:r w:rsidRPr="0060041A">
        <w:rPr>
          <w:rFonts w:ascii="新宋体" w:eastAsia="新宋体" w:hAnsi="新宋体"/>
          <w:color w:val="auto"/>
          <w:sz w:val="21"/>
          <w:szCs w:val="21"/>
        </w:rPr>
        <w:t>在5个交易日内将负偏离度绝对值调整到0.25%以内。当负偏离度绝对值达到0.5%时，</w:t>
      </w:r>
      <w:r w:rsidRPr="0060041A">
        <w:rPr>
          <w:rFonts w:ascii="新宋体" w:eastAsia="新宋体" w:hAnsi="新宋体" w:hint="eastAsia"/>
          <w:color w:val="auto"/>
          <w:sz w:val="21"/>
          <w:szCs w:val="21"/>
        </w:rPr>
        <w:t>管理人将</w:t>
      </w:r>
      <w:r w:rsidRPr="0060041A">
        <w:rPr>
          <w:rFonts w:ascii="新宋体" w:eastAsia="新宋体" w:hAnsi="新宋体"/>
          <w:color w:val="auto"/>
          <w:sz w:val="21"/>
          <w:szCs w:val="21"/>
        </w:rPr>
        <w:t>采取相应措施，将负偏离度绝对值控制在0.5%以内。当负偏离度绝对值连续两个交易日超过0.5%时，</w:t>
      </w:r>
      <w:r w:rsidRPr="0060041A">
        <w:rPr>
          <w:rFonts w:ascii="新宋体" w:eastAsia="新宋体" w:hAnsi="新宋体" w:hint="eastAsia"/>
          <w:color w:val="auto"/>
          <w:sz w:val="21"/>
          <w:szCs w:val="21"/>
        </w:rPr>
        <w:t>管理人将</w:t>
      </w:r>
      <w:r w:rsidRPr="0060041A">
        <w:rPr>
          <w:rFonts w:ascii="新宋体" w:eastAsia="新宋体" w:hAnsi="新宋体"/>
          <w:color w:val="auto"/>
          <w:sz w:val="21"/>
          <w:szCs w:val="21"/>
        </w:rPr>
        <w:t>采用公允价值估值方法对持有投资组合的账面价值进行调整</w:t>
      </w:r>
      <w:r w:rsidRPr="0060041A">
        <w:rPr>
          <w:rFonts w:ascii="新宋体" w:eastAsia="新宋体" w:hAnsi="新宋体" w:hint="eastAsia"/>
          <w:color w:val="auto"/>
          <w:sz w:val="21"/>
          <w:szCs w:val="21"/>
        </w:rPr>
        <w:t>，或者采取暂停接受所有赎回申请并终止产品合同进行财产清算等措施。</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5</w:t>
      </w:r>
      <w:r w:rsidRPr="0060041A">
        <w:rPr>
          <w:rFonts w:ascii="新宋体" w:eastAsia="新宋体" w:hAnsi="新宋体" w:hint="eastAsia"/>
          <w:color w:val="auto"/>
          <w:sz w:val="21"/>
          <w:szCs w:val="21"/>
        </w:rPr>
        <w:t>）运用流动性风险应对措施下的潜在影响：除赎回上限情况外，根据国家相关法律法规及《产品说明书》约定，在确保投资者得到公平对待的前提下，产品还可以运用相关流动性风险应对措施应对除赎回上限情况外的其他流动性风险，包括但不限于暂停接受赎回申请、延缓支付赎回款项、暂停理财产品估值、摆动定价以及国家金融监督管理总局（原银保监会）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4.操作风险管理</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在本理财计划的管理运作过程中，将通过严密的风险管理体系严格控制管理风险，最大可能地保护投资者利益。通过对资产管理投资业务实行分级授权管理，并明确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rsidR="005E39AE" w:rsidRPr="0060041A" w:rsidRDefault="005E39AE">
      <w:pPr>
        <w:widowControl/>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九、产品估值</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1.估值目的</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本产品估值的目的是客观、准确的反映理财资产价值，以及理财产品资产净值。</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2.估值日</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本产品工作日期间按日估值，管理人于估值日后两个工作日内进行披露。产品建仓期暂不估值。</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3.估值对象</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本产品持有的各类证券、银行存款、应收款项及其他投资等资产。</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4.估值方法</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本产品以摊余成本进行计量，并采用影子定价的风险控制手段，对摊余成本法计算的资产净值的公允性进行评估。当摊余成本计量在特殊情形下不能公允反映本产品价值的，将采用其他估值方法，届时管理人将以公告的形式对估值方法调整进行披露。</w:t>
      </w:r>
    </w:p>
    <w:p w:rsidR="005E39AE" w:rsidRPr="0060041A" w:rsidRDefault="005E39AE">
      <w:pPr>
        <w:widowControl/>
        <w:snapToGrid w:val="0"/>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5.</w:t>
      </w:r>
      <w:r w:rsidRPr="0060041A">
        <w:rPr>
          <w:rFonts w:ascii="新宋体" w:eastAsia="新宋体" w:hAnsi="新宋体"/>
          <w:bCs/>
          <w:color w:val="auto"/>
          <w:sz w:val="21"/>
          <w:szCs w:val="21"/>
        </w:rPr>
        <w:t>估值错误的处理</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hint="eastAsia"/>
          <w:bCs/>
          <w:color w:val="auto"/>
          <w:sz w:val="21"/>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5E39AE" w:rsidRPr="0060041A" w:rsidRDefault="005E39AE">
      <w:pPr>
        <w:spacing w:line="360" w:lineRule="auto"/>
        <w:ind w:firstLineChars="200" w:firstLine="420"/>
        <w:jc w:val="left"/>
        <w:rPr>
          <w:rFonts w:ascii="新宋体" w:eastAsia="新宋体" w:hAnsi="新宋体"/>
          <w:bCs/>
          <w:color w:val="auto"/>
          <w:sz w:val="21"/>
          <w:szCs w:val="21"/>
        </w:rPr>
      </w:pPr>
      <w:r w:rsidRPr="0060041A">
        <w:rPr>
          <w:rFonts w:ascii="新宋体" w:eastAsia="新宋体" w:hAnsi="新宋体"/>
          <w:bCs/>
          <w:color w:val="auto"/>
          <w:sz w:val="21"/>
          <w:szCs w:val="21"/>
        </w:rPr>
        <w:t>6</w:t>
      </w:r>
      <w:r w:rsidRPr="0060041A">
        <w:rPr>
          <w:rFonts w:ascii="新宋体" w:eastAsia="新宋体" w:hAnsi="新宋体" w:hint="eastAsia"/>
          <w:bCs/>
          <w:color w:val="auto"/>
          <w:sz w:val="21"/>
          <w:szCs w:val="21"/>
        </w:rPr>
        <w:t>.暂停估值</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bCs/>
          <w:color w:val="auto"/>
          <w:sz w:val="21"/>
          <w:szCs w:val="21"/>
        </w:rPr>
        <w:t>如遇法定节假日调整或其他原因暂停营业时，或因任何不可抗力导致无法准确估值时，管理人可暂停估值，并于2个工作日内披露相关信息及处理措施。</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十、理财购买</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1.募集期内，投资者可持本人有效身份证件原件及银行卡等，前往各销售服务机构办理；或者通过登录销售机构网上银行、手机银行等渠道自助办理。</w:t>
      </w:r>
    </w:p>
    <w:p w:rsidR="005E39AE" w:rsidRPr="0060041A" w:rsidRDefault="005E39AE">
      <w:pPr>
        <w:spacing w:line="360" w:lineRule="auto"/>
        <w:ind w:firstLineChars="200" w:firstLine="420"/>
        <w:jc w:val="left"/>
        <w:rPr>
          <w:rFonts w:ascii="新宋体" w:eastAsia="新宋体" w:hAnsi="新宋体"/>
          <w:b/>
          <w:color w:val="auto"/>
          <w:sz w:val="21"/>
          <w:szCs w:val="21"/>
        </w:rPr>
      </w:pPr>
      <w:r w:rsidRPr="0060041A">
        <w:rPr>
          <w:rFonts w:ascii="新宋体" w:eastAsia="新宋体" w:hAnsi="新宋体" w:hint="eastAsia"/>
          <w:color w:val="auto"/>
          <w:sz w:val="21"/>
          <w:szCs w:val="21"/>
        </w:rPr>
        <w:t>2.开放期内，T日9:00—</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w:t>
      </w:r>
      <w:r w:rsidRPr="0060041A">
        <w:rPr>
          <w:rFonts w:ascii="新宋体" w:eastAsia="新宋体" w:hAnsi="新宋体"/>
          <w:color w:val="auto"/>
          <w:sz w:val="21"/>
          <w:szCs w:val="21"/>
        </w:rPr>
        <w:t>购买，</w:t>
      </w:r>
      <w:r w:rsidRPr="0060041A">
        <w:rPr>
          <w:rFonts w:ascii="新宋体" w:eastAsia="新宋体" w:hAnsi="新宋体" w:hint="eastAsia"/>
          <w:color w:val="auto"/>
          <w:sz w:val="21"/>
          <w:szCs w:val="21"/>
        </w:rPr>
        <w:t>购买资金实时冻结（具体以各销售服务机构规则为准），青银理财将在T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日对该笔购买申请进行确认并开始计算收益，若处理失败（如扣款失败等）则理财购买失败</w:t>
      </w:r>
      <w:r w:rsidRPr="0060041A">
        <w:rPr>
          <w:rFonts w:ascii="新宋体" w:eastAsia="新宋体" w:hAnsi="新宋体"/>
          <w:color w:val="auto"/>
          <w:sz w:val="21"/>
          <w:szCs w:val="21"/>
        </w:rPr>
        <w:t>。</w:t>
      </w:r>
      <w:r w:rsidRPr="0060041A">
        <w:rPr>
          <w:rFonts w:ascii="新宋体" w:eastAsia="新宋体" w:hAnsi="新宋体" w:hint="eastAsia"/>
          <w:b/>
          <w:color w:val="auto"/>
          <w:sz w:val="21"/>
          <w:szCs w:val="21"/>
        </w:rPr>
        <w:t>T日</w:t>
      </w:r>
      <w:r w:rsidR="001A4C4C" w:rsidRPr="007B2538">
        <w:rPr>
          <w:rFonts w:ascii="新宋体" w:eastAsia="新宋体" w:hAnsi="新宋体" w:hint="eastAsia"/>
          <w:b/>
          <w:color w:val="auto"/>
          <w:sz w:val="21"/>
          <w:szCs w:val="21"/>
        </w:rPr>
        <w:t>15:30</w:t>
      </w:r>
      <w:r w:rsidRPr="007B2538">
        <w:rPr>
          <w:rFonts w:ascii="新宋体" w:eastAsia="新宋体" w:hAnsi="新宋体" w:hint="eastAsia"/>
          <w:b/>
          <w:color w:val="auto"/>
          <w:sz w:val="21"/>
          <w:szCs w:val="21"/>
        </w:rPr>
        <w:t>（不含）—T+1日9:00购买</w:t>
      </w:r>
      <w:r w:rsidRPr="007B2538">
        <w:rPr>
          <w:rFonts w:ascii="新宋体" w:eastAsia="新宋体" w:hAnsi="新宋体"/>
          <w:b/>
          <w:color w:val="auto"/>
          <w:sz w:val="21"/>
          <w:szCs w:val="21"/>
        </w:rPr>
        <w:t>，</w:t>
      </w:r>
      <w:r w:rsidRPr="0060041A">
        <w:rPr>
          <w:rFonts w:ascii="新宋体" w:eastAsia="新宋体" w:hAnsi="新宋体" w:hint="eastAsia"/>
          <w:b/>
          <w:color w:val="auto"/>
          <w:sz w:val="21"/>
          <w:szCs w:val="21"/>
        </w:rPr>
        <w:t>购买资金实时冻结（具体以各销售服务机构规则为准），该购买委托算作下一工作日（</w:t>
      </w:r>
      <w:r w:rsidRPr="0060041A">
        <w:rPr>
          <w:rFonts w:ascii="新宋体" w:eastAsia="新宋体" w:hAnsi="新宋体"/>
          <w:b/>
          <w:color w:val="auto"/>
          <w:sz w:val="21"/>
          <w:szCs w:val="21"/>
        </w:rPr>
        <w:t>T+1日）的申请，青银理财将于T+2日对该笔购买申请进行确认并开始计算收益，若</w:t>
      </w:r>
      <w:r w:rsidRPr="0060041A">
        <w:rPr>
          <w:rFonts w:ascii="新宋体" w:eastAsia="新宋体" w:hAnsi="新宋体" w:hint="eastAsia"/>
          <w:b/>
          <w:color w:val="auto"/>
          <w:sz w:val="21"/>
          <w:szCs w:val="21"/>
        </w:rPr>
        <w:t>处理</w:t>
      </w:r>
      <w:r w:rsidRPr="0060041A">
        <w:rPr>
          <w:rFonts w:ascii="新宋体" w:eastAsia="新宋体" w:hAnsi="新宋体"/>
          <w:b/>
          <w:color w:val="auto"/>
          <w:sz w:val="21"/>
          <w:szCs w:val="21"/>
        </w:rPr>
        <w:t>失败（如扣款失败等）则理财购买失败。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322"/>
        <w:gridCol w:w="2086"/>
        <w:gridCol w:w="2031"/>
      </w:tblGrid>
      <w:tr w:rsidR="005E39AE" w:rsidRPr="0060041A" w:rsidTr="007B2538">
        <w:trPr>
          <w:jc w:val="center"/>
        </w:trPr>
        <w:tc>
          <w:tcPr>
            <w:tcW w:w="4322" w:type="dxa"/>
            <w:vAlign w:val="center"/>
          </w:tcPr>
          <w:p w:rsidR="005E39AE" w:rsidRPr="0060041A" w:rsidRDefault="005E39AE">
            <w:pPr>
              <w:widowControl/>
              <w:snapToGrid w:val="0"/>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购买申请时间</w:t>
            </w:r>
          </w:p>
        </w:tc>
        <w:tc>
          <w:tcPr>
            <w:tcW w:w="2086" w:type="dxa"/>
            <w:vAlign w:val="center"/>
          </w:tcPr>
          <w:p w:rsidR="005E39AE" w:rsidRPr="0060041A" w:rsidRDefault="005E39AE">
            <w:pPr>
              <w:widowControl/>
              <w:snapToGrid w:val="0"/>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确认时间</w:t>
            </w:r>
          </w:p>
        </w:tc>
        <w:tc>
          <w:tcPr>
            <w:tcW w:w="2031" w:type="dxa"/>
          </w:tcPr>
          <w:p w:rsidR="005E39AE" w:rsidRPr="0060041A" w:rsidRDefault="005E39AE">
            <w:pPr>
              <w:widowControl/>
              <w:snapToGrid w:val="0"/>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开始计算收益时间</w:t>
            </w:r>
          </w:p>
        </w:tc>
      </w:tr>
      <w:tr w:rsidR="005E39AE" w:rsidRPr="0060041A" w:rsidTr="007B2538">
        <w:trPr>
          <w:jc w:val="center"/>
        </w:trPr>
        <w:tc>
          <w:tcPr>
            <w:tcW w:w="4322"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工作日T日9:00—</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w:t>
            </w:r>
          </w:p>
        </w:tc>
        <w:tc>
          <w:tcPr>
            <w:tcW w:w="2086"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p>
        </w:tc>
        <w:tc>
          <w:tcPr>
            <w:tcW w:w="2031" w:type="dxa"/>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p>
        </w:tc>
      </w:tr>
      <w:tr w:rsidR="005E39AE" w:rsidRPr="0060041A" w:rsidTr="007B2538">
        <w:trPr>
          <w:jc w:val="center"/>
        </w:trPr>
        <w:tc>
          <w:tcPr>
            <w:tcW w:w="4322"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工作日T日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（不含）—T+1日9:00</w:t>
            </w:r>
          </w:p>
        </w:tc>
        <w:tc>
          <w:tcPr>
            <w:tcW w:w="2086"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日</w:t>
            </w:r>
          </w:p>
        </w:tc>
        <w:tc>
          <w:tcPr>
            <w:tcW w:w="2031" w:type="dxa"/>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日</w:t>
            </w:r>
          </w:p>
        </w:tc>
      </w:tr>
    </w:tbl>
    <w:p w:rsidR="005E39AE" w:rsidRPr="0060041A" w:rsidRDefault="005E39AE">
      <w:pPr>
        <w:widowControl/>
        <w:snapToGrid w:val="0"/>
        <w:spacing w:line="360" w:lineRule="auto"/>
        <w:ind w:firstLineChars="98" w:firstLine="207"/>
        <w:jc w:val="left"/>
        <w:rPr>
          <w:rFonts w:ascii="新宋体" w:eastAsia="新宋体" w:hAnsi="新宋体"/>
          <w:b/>
          <w:color w:val="auto"/>
          <w:sz w:val="21"/>
          <w:szCs w:val="21"/>
        </w:rPr>
      </w:pPr>
      <w:r w:rsidRPr="0060041A">
        <w:rPr>
          <w:rFonts w:ascii="新宋体" w:eastAsia="新宋体" w:hAnsi="新宋体" w:hint="eastAsia"/>
          <w:b/>
          <w:color w:val="auto"/>
          <w:sz w:val="21"/>
          <w:szCs w:val="21"/>
        </w:rPr>
        <w:t>提示：以上T日、T+1、T</w:t>
      </w:r>
      <w:r w:rsidRPr="0060041A">
        <w:rPr>
          <w:rFonts w:ascii="新宋体" w:eastAsia="新宋体" w:hAnsi="新宋体"/>
          <w:b/>
          <w:color w:val="auto"/>
          <w:sz w:val="21"/>
          <w:szCs w:val="21"/>
        </w:rPr>
        <w:t>+2</w:t>
      </w:r>
      <w:r w:rsidRPr="0060041A">
        <w:rPr>
          <w:rFonts w:ascii="新宋体" w:eastAsia="新宋体" w:hAnsi="新宋体" w:hint="eastAsia"/>
          <w:b/>
          <w:color w:val="auto"/>
          <w:sz w:val="21"/>
          <w:szCs w:val="21"/>
        </w:rPr>
        <w:t>日均指工作日。非工作日的交易，视为下一个工作日</w:t>
      </w:r>
      <w:r w:rsidR="001A4C4C">
        <w:rPr>
          <w:rFonts w:ascii="新宋体" w:eastAsia="新宋体" w:hAnsi="新宋体" w:hint="eastAsia"/>
          <w:b/>
          <w:color w:val="auto"/>
          <w:sz w:val="21"/>
          <w:szCs w:val="21"/>
        </w:rPr>
        <w:t>15:30</w:t>
      </w:r>
      <w:r w:rsidRPr="0060041A">
        <w:rPr>
          <w:rFonts w:ascii="新宋体" w:eastAsia="新宋体" w:hAnsi="新宋体" w:hint="eastAsia"/>
          <w:b/>
          <w:color w:val="auto"/>
          <w:sz w:val="21"/>
          <w:szCs w:val="21"/>
        </w:rPr>
        <w:t>前的交易。</w:t>
      </w:r>
    </w:p>
    <w:p w:rsidR="005E39AE" w:rsidRPr="0060041A" w:rsidRDefault="005E39AE">
      <w:pPr>
        <w:widowControl/>
        <w:snapToGrid w:val="0"/>
        <w:spacing w:line="360" w:lineRule="auto"/>
        <w:ind w:firstLineChars="392" w:firstLine="826"/>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如系统批量提前完成，开始时间可能早于9:00。</w:t>
      </w:r>
    </w:p>
    <w:p w:rsidR="005E39AE" w:rsidRPr="0060041A" w:rsidRDefault="005E39AE">
      <w:pPr>
        <w:widowControl/>
        <w:snapToGrid w:val="0"/>
        <w:spacing w:line="360" w:lineRule="auto"/>
        <w:ind w:firstLineChars="200" w:firstLine="422"/>
        <w:jc w:val="left"/>
        <w:rPr>
          <w:rFonts w:ascii="新宋体" w:eastAsia="新宋体" w:hAnsi="新宋体"/>
          <w:color w:val="auto"/>
          <w:sz w:val="21"/>
          <w:szCs w:val="21"/>
        </w:rPr>
      </w:pPr>
      <w:r w:rsidRPr="0060041A">
        <w:rPr>
          <w:rFonts w:ascii="新宋体" w:eastAsia="新宋体" w:hAnsi="新宋体" w:hint="eastAsia"/>
          <w:b/>
          <w:color w:val="auto"/>
          <w:sz w:val="21"/>
          <w:szCs w:val="21"/>
        </w:rPr>
        <w:t>举例：</w:t>
      </w:r>
      <w:r w:rsidRPr="0060041A">
        <w:rPr>
          <w:rFonts w:ascii="新宋体" w:eastAsia="新宋体" w:hAnsi="新宋体" w:hint="eastAsia"/>
          <w:color w:val="auto"/>
          <w:sz w:val="21"/>
          <w:szCs w:val="21"/>
        </w:rPr>
        <w:t>假设开放期内，客户于2020年2月7日（周五）</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购买本理财计划20万元，则系统将于下一个工作日2020年2月10日（周一）对该笔交易进行起息确认，购买确认份额=200000÷1=200000份。</w:t>
      </w:r>
    </w:p>
    <w:p w:rsidR="005E39AE" w:rsidRPr="0060041A" w:rsidRDefault="005E39AE">
      <w:pPr>
        <w:widowControl/>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假设开放期内，客户于2020年2月7日（周五）16:00购买本理财计划20万元，则系统将于2020年2月1</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日（周二）对该笔交易进行起息确认，购买确认份额=200000÷1=200000份。</w:t>
      </w:r>
    </w:p>
    <w:p w:rsidR="005E39AE" w:rsidRPr="0060041A" w:rsidRDefault="005E39AE">
      <w:pPr>
        <w:widowControl/>
        <w:snapToGrid w:val="0"/>
        <w:spacing w:line="360" w:lineRule="auto"/>
        <w:ind w:firstLineChars="200" w:firstLine="422"/>
        <w:jc w:val="left"/>
        <w:rPr>
          <w:rFonts w:ascii="新宋体" w:eastAsia="新宋体" w:hAnsi="新宋体"/>
          <w:color w:val="auto"/>
          <w:sz w:val="21"/>
          <w:szCs w:val="21"/>
        </w:rPr>
      </w:pPr>
      <w:r w:rsidRPr="0060041A">
        <w:rPr>
          <w:rFonts w:ascii="新宋体" w:eastAsia="新宋体" w:hAnsi="新宋体" w:hint="eastAsia"/>
          <w:b/>
          <w:color w:val="auto"/>
          <w:sz w:val="21"/>
          <w:szCs w:val="21"/>
        </w:rPr>
        <w:t>（上述示例采用假设数据计算，仅供参考，不代表投资者的实际情况，下同）</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十一、理财赎回</w:t>
      </w:r>
    </w:p>
    <w:p w:rsidR="005E39AE" w:rsidRPr="0060041A" w:rsidRDefault="005E39AE">
      <w:pPr>
        <w:spacing w:line="360" w:lineRule="auto"/>
        <w:ind w:firstLineChars="200" w:firstLine="420"/>
        <w:jc w:val="left"/>
        <w:rPr>
          <w:rFonts w:ascii="新宋体" w:eastAsia="新宋体" w:hAnsi="新宋体"/>
          <w:b/>
          <w:color w:val="auto"/>
          <w:sz w:val="21"/>
          <w:szCs w:val="21"/>
        </w:rPr>
      </w:pPr>
      <w:r w:rsidRPr="0060041A">
        <w:rPr>
          <w:rFonts w:ascii="新宋体" w:eastAsia="新宋体" w:hAnsi="新宋体" w:hint="eastAsia"/>
          <w:color w:val="auto"/>
          <w:sz w:val="21"/>
          <w:szCs w:val="21"/>
        </w:rPr>
        <w:t>开放期内，T日9:00—</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w:t>
      </w:r>
      <w:r w:rsidRPr="0060041A">
        <w:rPr>
          <w:rFonts w:ascii="新宋体" w:eastAsia="新宋体" w:hAnsi="新宋体"/>
          <w:color w:val="auto"/>
          <w:sz w:val="21"/>
          <w:szCs w:val="21"/>
        </w:rPr>
        <w:t>赎回，</w:t>
      </w:r>
      <w:r w:rsidRPr="0060041A">
        <w:rPr>
          <w:rFonts w:ascii="新宋体" w:eastAsia="新宋体" w:hAnsi="新宋体" w:hint="eastAsia"/>
          <w:color w:val="auto"/>
          <w:sz w:val="21"/>
          <w:szCs w:val="21"/>
        </w:rPr>
        <w:t>青银理财将在T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日对该笔赎回申请进行确认，如确认成功则扣减份额进行资金入账，赎回当日计提收益</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（不含）—T+1日9:00</w:t>
      </w:r>
      <w:r w:rsidRPr="0060041A">
        <w:rPr>
          <w:rFonts w:ascii="新宋体" w:eastAsia="新宋体" w:hAnsi="新宋体" w:hint="eastAsia"/>
          <w:b/>
          <w:color w:val="auto"/>
          <w:sz w:val="21"/>
          <w:szCs w:val="21"/>
        </w:rPr>
        <w:t>赎回，该赎回委托算作下一工作日（</w:t>
      </w:r>
      <w:r w:rsidRPr="0060041A">
        <w:rPr>
          <w:rFonts w:ascii="新宋体" w:eastAsia="新宋体" w:hAnsi="新宋体"/>
          <w:b/>
          <w:color w:val="auto"/>
          <w:sz w:val="21"/>
          <w:szCs w:val="21"/>
        </w:rPr>
        <w:t>T+1日）的申请，青银理财将于T+2日对该笔赎回申请进行确认</w:t>
      </w:r>
      <w:r w:rsidRPr="0060041A">
        <w:rPr>
          <w:rFonts w:ascii="新宋体" w:eastAsia="新宋体" w:hAnsi="新宋体" w:hint="eastAsia"/>
          <w:b/>
          <w:color w:val="auto"/>
          <w:sz w:val="21"/>
          <w:szCs w:val="21"/>
        </w:rPr>
        <w:t>，如确认成功则扣减份额进行资金入账，T日和T</w:t>
      </w:r>
      <w:r w:rsidRPr="0060041A">
        <w:rPr>
          <w:rFonts w:ascii="新宋体" w:eastAsia="新宋体" w:hAnsi="新宋体"/>
          <w:b/>
          <w:color w:val="auto"/>
          <w:sz w:val="21"/>
          <w:szCs w:val="21"/>
        </w:rPr>
        <w:t>+1</w:t>
      </w:r>
      <w:r w:rsidRPr="0060041A">
        <w:rPr>
          <w:rFonts w:ascii="新宋体" w:eastAsia="新宋体" w:hAnsi="新宋体" w:hint="eastAsia"/>
          <w:b/>
          <w:color w:val="auto"/>
          <w:sz w:val="21"/>
          <w:szCs w:val="21"/>
        </w:rPr>
        <w:t>日均计提收益。</w:t>
      </w:r>
      <w:r w:rsidRPr="0060041A">
        <w:rPr>
          <w:rFonts w:ascii="新宋体" w:eastAsia="新宋体" w:hAnsi="新宋体" w:hint="eastAsia"/>
          <w:color w:val="auto"/>
          <w:sz w:val="21"/>
          <w:szCs w:val="21"/>
        </w:rPr>
        <w:t>赎回资金将于赎回份额确认日后的</w:t>
      </w:r>
      <w:r w:rsidRPr="0060041A">
        <w:rPr>
          <w:rFonts w:ascii="新宋体" w:eastAsia="新宋体" w:hAnsi="新宋体"/>
          <w:color w:val="auto"/>
          <w:sz w:val="21"/>
          <w:szCs w:val="21"/>
        </w:rPr>
        <w:t>3</w:t>
      </w:r>
      <w:r w:rsidRPr="0060041A">
        <w:rPr>
          <w:rFonts w:ascii="新宋体" w:eastAsia="新宋体" w:hAnsi="新宋体" w:hint="eastAsia"/>
          <w:color w:val="auto"/>
          <w:sz w:val="21"/>
          <w:szCs w:val="21"/>
        </w:rPr>
        <w:t>个工作日内到账，实际到账时间以各销售机构为准。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69"/>
        <w:gridCol w:w="2031"/>
      </w:tblGrid>
      <w:tr w:rsidR="005E39AE" w:rsidRPr="0060041A">
        <w:trPr>
          <w:jc w:val="center"/>
        </w:trPr>
        <w:tc>
          <w:tcPr>
            <w:tcW w:w="3969" w:type="dxa"/>
            <w:vAlign w:val="center"/>
          </w:tcPr>
          <w:p w:rsidR="005E39AE" w:rsidRPr="0060041A" w:rsidRDefault="005E39AE">
            <w:pPr>
              <w:widowControl/>
              <w:snapToGrid w:val="0"/>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赎回申请时间</w:t>
            </w:r>
          </w:p>
        </w:tc>
        <w:tc>
          <w:tcPr>
            <w:tcW w:w="2031" w:type="dxa"/>
            <w:vAlign w:val="center"/>
          </w:tcPr>
          <w:p w:rsidR="005E39AE" w:rsidRPr="0060041A" w:rsidRDefault="005E39AE">
            <w:pPr>
              <w:widowControl/>
              <w:snapToGrid w:val="0"/>
              <w:spacing w:line="360" w:lineRule="auto"/>
              <w:jc w:val="center"/>
              <w:rPr>
                <w:rFonts w:ascii="新宋体" w:eastAsia="新宋体" w:hAnsi="新宋体"/>
                <w:b/>
                <w:color w:val="auto"/>
                <w:sz w:val="21"/>
                <w:szCs w:val="21"/>
              </w:rPr>
            </w:pPr>
            <w:r w:rsidRPr="0060041A">
              <w:rPr>
                <w:rFonts w:ascii="新宋体" w:eastAsia="新宋体" w:hAnsi="新宋体" w:hint="eastAsia"/>
                <w:b/>
                <w:color w:val="auto"/>
                <w:sz w:val="21"/>
                <w:szCs w:val="21"/>
              </w:rPr>
              <w:t>确认时间</w:t>
            </w:r>
          </w:p>
        </w:tc>
      </w:tr>
      <w:tr w:rsidR="005E39AE" w:rsidRPr="0060041A">
        <w:trPr>
          <w:jc w:val="center"/>
        </w:trPr>
        <w:tc>
          <w:tcPr>
            <w:tcW w:w="3969"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工作日T日9:00—</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w:t>
            </w:r>
          </w:p>
        </w:tc>
        <w:tc>
          <w:tcPr>
            <w:tcW w:w="2031"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p>
        </w:tc>
      </w:tr>
      <w:tr w:rsidR="005E39AE" w:rsidRPr="0060041A">
        <w:trPr>
          <w:jc w:val="center"/>
        </w:trPr>
        <w:tc>
          <w:tcPr>
            <w:tcW w:w="3969"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工作日T日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（不含）—T+1日9:00</w:t>
            </w:r>
          </w:p>
        </w:tc>
        <w:tc>
          <w:tcPr>
            <w:tcW w:w="2031" w:type="dxa"/>
            <w:vAlign w:val="center"/>
          </w:tcPr>
          <w:p w:rsidR="005E39AE" w:rsidRPr="0060041A" w:rsidRDefault="005E39AE">
            <w:pPr>
              <w:widowControl/>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日</w:t>
            </w:r>
          </w:p>
        </w:tc>
      </w:tr>
    </w:tbl>
    <w:p w:rsidR="005E39AE" w:rsidRPr="0060041A" w:rsidRDefault="005E39AE">
      <w:pPr>
        <w:widowControl/>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提示：以上T日、T+1、T</w:t>
      </w:r>
      <w:r w:rsidRPr="0060041A">
        <w:rPr>
          <w:rFonts w:ascii="新宋体" w:eastAsia="新宋体" w:hAnsi="新宋体"/>
          <w:b/>
          <w:color w:val="auto"/>
          <w:sz w:val="21"/>
          <w:szCs w:val="21"/>
        </w:rPr>
        <w:t>+2</w:t>
      </w:r>
      <w:r w:rsidRPr="0060041A">
        <w:rPr>
          <w:rFonts w:ascii="新宋体" w:eastAsia="新宋体" w:hAnsi="新宋体" w:hint="eastAsia"/>
          <w:b/>
          <w:color w:val="auto"/>
          <w:sz w:val="21"/>
          <w:szCs w:val="21"/>
        </w:rPr>
        <w:t>日均指工作日。非工作日的交易，视为下一个工作日</w:t>
      </w:r>
      <w:r w:rsidR="001A4C4C">
        <w:rPr>
          <w:rFonts w:ascii="新宋体" w:eastAsia="新宋体" w:hAnsi="新宋体" w:hint="eastAsia"/>
          <w:b/>
          <w:color w:val="auto"/>
          <w:sz w:val="21"/>
          <w:szCs w:val="21"/>
        </w:rPr>
        <w:t>15:30</w:t>
      </w:r>
      <w:r w:rsidRPr="0060041A">
        <w:rPr>
          <w:rFonts w:ascii="新宋体" w:eastAsia="新宋体" w:hAnsi="新宋体" w:hint="eastAsia"/>
          <w:b/>
          <w:color w:val="auto"/>
          <w:sz w:val="21"/>
          <w:szCs w:val="21"/>
        </w:rPr>
        <w:t>前的交易。如系统批量提前完成，开始时间可能早于9:00。</w:t>
      </w:r>
    </w:p>
    <w:p w:rsidR="005E39AE" w:rsidRPr="0060041A" w:rsidRDefault="005E39AE">
      <w:pPr>
        <w:widowControl/>
        <w:snapToGrid w:val="0"/>
        <w:spacing w:line="360" w:lineRule="auto"/>
        <w:ind w:firstLineChars="200" w:firstLine="422"/>
        <w:jc w:val="left"/>
        <w:rPr>
          <w:rFonts w:ascii="新宋体" w:eastAsia="新宋体" w:hAnsi="新宋体"/>
          <w:color w:val="auto"/>
          <w:sz w:val="21"/>
          <w:szCs w:val="21"/>
        </w:rPr>
      </w:pPr>
      <w:r w:rsidRPr="0060041A">
        <w:rPr>
          <w:rFonts w:ascii="新宋体" w:eastAsia="新宋体" w:hAnsi="新宋体" w:hint="eastAsia"/>
          <w:b/>
          <w:color w:val="auto"/>
          <w:sz w:val="21"/>
          <w:szCs w:val="21"/>
        </w:rPr>
        <w:t>举例：</w:t>
      </w:r>
      <w:r w:rsidRPr="0060041A">
        <w:rPr>
          <w:rFonts w:ascii="新宋体" w:eastAsia="新宋体" w:hAnsi="新宋体" w:hint="eastAsia"/>
          <w:color w:val="auto"/>
          <w:sz w:val="21"/>
          <w:szCs w:val="21"/>
        </w:rPr>
        <w:t>假设开放期内，客户于2020年2月8日（周六）赎回本理财计划1万份，则系统将于2020年2月</w:t>
      </w:r>
      <w:r w:rsidRPr="0060041A">
        <w:rPr>
          <w:rFonts w:ascii="新宋体" w:eastAsia="新宋体" w:hAnsi="新宋体"/>
          <w:color w:val="auto"/>
          <w:sz w:val="21"/>
          <w:szCs w:val="21"/>
        </w:rPr>
        <w:t>11</w:t>
      </w:r>
      <w:r w:rsidRPr="0060041A">
        <w:rPr>
          <w:rFonts w:ascii="新宋体" w:eastAsia="新宋体" w:hAnsi="新宋体" w:hint="eastAsia"/>
          <w:color w:val="auto"/>
          <w:sz w:val="21"/>
          <w:szCs w:val="21"/>
        </w:rPr>
        <w:t>日（周二）对该笔交易进行确认入账，赎回入账金额=10000×1=10000元。</w:t>
      </w:r>
    </w:p>
    <w:p w:rsidR="005E39AE" w:rsidRPr="0060041A" w:rsidRDefault="005E39AE">
      <w:pPr>
        <w:widowControl/>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特别提示：为公平对待不同类别产品投资者的合法权益，单个产品投资者在单个开放日申请赎回份额超过该产品总份额</w:t>
      </w:r>
      <w:r w:rsidRPr="0060041A">
        <w:rPr>
          <w:rFonts w:ascii="新宋体" w:eastAsia="新宋体" w:hAnsi="新宋体"/>
          <w:b/>
          <w:color w:val="auto"/>
          <w:sz w:val="21"/>
          <w:szCs w:val="21"/>
        </w:rPr>
        <w:t>10%的，</w:t>
      </w:r>
      <w:r w:rsidRPr="0060041A">
        <w:rPr>
          <w:rFonts w:ascii="新宋体" w:eastAsia="新宋体" w:hAnsi="新宋体" w:hint="eastAsia"/>
          <w:b/>
          <w:color w:val="auto"/>
          <w:sz w:val="21"/>
          <w:szCs w:val="21"/>
        </w:rPr>
        <w:t>管理人有权</w:t>
      </w:r>
      <w:r w:rsidRPr="0060041A">
        <w:rPr>
          <w:rFonts w:ascii="新宋体" w:eastAsia="新宋体" w:hAnsi="新宋体"/>
          <w:b/>
          <w:color w:val="auto"/>
          <w:sz w:val="21"/>
          <w:szCs w:val="21"/>
        </w:rPr>
        <w:t>采取延期办理部分赎回申请或者延缓支付赎回款项的措施。</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十二、赎回上限</w:t>
      </w:r>
    </w:p>
    <w:p w:rsidR="005E39AE" w:rsidRPr="0060041A" w:rsidRDefault="005E39AE">
      <w:pPr>
        <w:widowControl/>
        <w:snapToGrid w:val="0"/>
        <w:spacing w:line="360" w:lineRule="auto"/>
        <w:ind w:firstLineChars="200" w:firstLine="422"/>
        <w:jc w:val="left"/>
        <w:rPr>
          <w:rFonts w:ascii="新宋体" w:eastAsia="新宋体" w:cs="新宋体"/>
          <w:b/>
          <w:kern w:val="0"/>
          <w:sz w:val="21"/>
          <w:szCs w:val="21"/>
        </w:rPr>
      </w:pPr>
      <w:r w:rsidRPr="0060041A">
        <w:rPr>
          <w:rFonts w:ascii="新宋体" w:eastAsia="新宋体" w:cs="新宋体" w:hint="eastAsia"/>
          <w:b/>
          <w:kern w:val="0"/>
          <w:sz w:val="21"/>
          <w:szCs w:val="21"/>
        </w:rPr>
        <w:t>本理财计划规模余额达到</w:t>
      </w:r>
      <w:r w:rsidRPr="0060041A">
        <w:rPr>
          <w:rFonts w:ascii="新宋体" w:eastAsia="新宋体" w:cs="新宋体"/>
          <w:b/>
          <w:kern w:val="0"/>
          <w:sz w:val="21"/>
          <w:szCs w:val="21"/>
        </w:rPr>
        <w:t>50亿元（含）后，</w:t>
      </w:r>
      <w:r w:rsidRPr="0060041A">
        <w:rPr>
          <w:rFonts w:ascii="新宋体" w:eastAsia="新宋体" w:cs="新宋体" w:hint="eastAsia"/>
          <w:b/>
          <w:kern w:val="0"/>
          <w:sz w:val="21"/>
          <w:szCs w:val="21"/>
        </w:rPr>
        <w:t>单个开放日中，本理财计划的净赎回份额（当日赎回申请总份额扣除当日购买总份额后的余额）不得超过上一日本理财计划总份额的</w:t>
      </w:r>
      <w:r w:rsidRPr="0060041A">
        <w:rPr>
          <w:rFonts w:ascii="新宋体" w:eastAsia="新宋体" w:cs="新宋体"/>
          <w:b/>
          <w:kern w:val="0"/>
          <w:sz w:val="21"/>
          <w:szCs w:val="21"/>
        </w:rPr>
        <w:t>10</w:t>
      </w:r>
      <w:r w:rsidRPr="0060041A">
        <w:rPr>
          <w:rFonts w:ascii="新宋体" w:eastAsia="新宋体" w:cs="新宋体" w:hint="eastAsia"/>
          <w:b/>
          <w:kern w:val="0"/>
          <w:sz w:val="21"/>
          <w:szCs w:val="21"/>
        </w:rPr>
        <w:t>%。当本理财计划净赎回达到赎回上限时，为维持理财资产正常运作，保护已有投资者利益，青银理财有权拒绝投资者的赎回申请，投资者可于下一开放日重新提交赎回申请，但该情形可能影响投资者的资金安排，带来流动性风险。如本理财计划触发赎回上限，青银理财将在</w:t>
      </w:r>
      <w:r w:rsidRPr="0060041A">
        <w:rPr>
          <w:rFonts w:ascii="新宋体" w:eastAsia="新宋体" w:cs="新宋体"/>
          <w:b/>
          <w:kern w:val="0"/>
          <w:sz w:val="21"/>
          <w:szCs w:val="21"/>
        </w:rPr>
        <w:t>3个工作日内进行公告，通知投资者相关处理措施。</w:t>
      </w:r>
    </w:p>
    <w:p w:rsidR="005E39AE" w:rsidRPr="0060041A" w:rsidRDefault="005E39AE">
      <w:pPr>
        <w:widowControl/>
        <w:snapToGrid w:val="0"/>
        <w:spacing w:line="360" w:lineRule="auto"/>
        <w:ind w:firstLineChars="200" w:firstLine="422"/>
        <w:jc w:val="left"/>
        <w:rPr>
          <w:rFonts w:ascii="新宋体" w:eastAsia="新宋体" w:cs="新宋体"/>
          <w:b/>
          <w:kern w:val="0"/>
          <w:sz w:val="21"/>
          <w:szCs w:val="21"/>
        </w:rPr>
      </w:pPr>
      <w:r w:rsidRPr="0060041A">
        <w:rPr>
          <w:rFonts w:ascii="新宋体" w:eastAsia="新宋体" w:cs="新宋体" w:hint="eastAsia"/>
          <w:b/>
          <w:kern w:val="0"/>
          <w:sz w:val="21"/>
          <w:szCs w:val="21"/>
        </w:rPr>
        <w:t>十三、理财收益及分配</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1.收益分配原则</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（1）购买的</w:t>
      </w:r>
      <w:r w:rsidRPr="0060041A">
        <w:rPr>
          <w:rFonts w:ascii="新宋体" w:eastAsia="新宋体" w:hAnsi="新宋体"/>
          <w:color w:val="auto"/>
          <w:sz w:val="21"/>
          <w:szCs w:val="21"/>
        </w:rPr>
        <w:t>理财产品份额自</w:t>
      </w:r>
      <w:r w:rsidRPr="0060041A">
        <w:rPr>
          <w:rFonts w:ascii="新宋体" w:eastAsia="新宋体" w:hAnsi="新宋体" w:hint="eastAsia"/>
          <w:color w:val="auto"/>
          <w:sz w:val="21"/>
          <w:szCs w:val="21"/>
        </w:rPr>
        <w:t>购买</w:t>
      </w:r>
      <w:r w:rsidRPr="0060041A">
        <w:rPr>
          <w:rFonts w:ascii="新宋体" w:eastAsia="新宋体" w:hAnsi="新宋体"/>
          <w:color w:val="auto"/>
          <w:sz w:val="21"/>
          <w:szCs w:val="21"/>
        </w:rPr>
        <w:t>确认</w:t>
      </w:r>
      <w:r w:rsidRPr="0060041A">
        <w:rPr>
          <w:rFonts w:ascii="新宋体" w:eastAsia="新宋体" w:hAnsi="新宋体" w:hint="eastAsia"/>
          <w:color w:val="auto"/>
          <w:sz w:val="21"/>
          <w:szCs w:val="21"/>
        </w:rPr>
        <w:t>成功</w:t>
      </w:r>
      <w:r w:rsidRPr="0060041A">
        <w:rPr>
          <w:rFonts w:ascii="新宋体" w:eastAsia="新宋体" w:hAnsi="新宋体"/>
          <w:color w:val="auto"/>
          <w:sz w:val="21"/>
          <w:szCs w:val="21"/>
        </w:rPr>
        <w:t>之日起，享有产品的收益分配权益</w:t>
      </w: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赎回的理财产品份额自赎回确认</w:t>
      </w:r>
      <w:r w:rsidRPr="0060041A">
        <w:rPr>
          <w:rFonts w:ascii="新宋体" w:eastAsia="新宋体" w:hAnsi="新宋体" w:hint="eastAsia"/>
          <w:color w:val="auto"/>
          <w:sz w:val="21"/>
          <w:szCs w:val="21"/>
        </w:rPr>
        <w:t>成功之日</w:t>
      </w:r>
      <w:r w:rsidRPr="0060041A">
        <w:rPr>
          <w:rFonts w:ascii="新宋体" w:eastAsia="新宋体" w:hAnsi="新宋体"/>
          <w:color w:val="auto"/>
          <w:sz w:val="21"/>
          <w:szCs w:val="21"/>
        </w:rPr>
        <w:t>起，不</w:t>
      </w:r>
      <w:r w:rsidRPr="0060041A">
        <w:rPr>
          <w:rFonts w:ascii="新宋体" w:eastAsia="新宋体" w:hAnsi="新宋体" w:hint="eastAsia"/>
          <w:color w:val="auto"/>
          <w:sz w:val="21"/>
          <w:szCs w:val="21"/>
        </w:rPr>
        <w:t>再</w:t>
      </w:r>
      <w:r w:rsidRPr="0060041A">
        <w:rPr>
          <w:rFonts w:ascii="新宋体" w:eastAsia="新宋体" w:hAnsi="新宋体"/>
          <w:color w:val="auto"/>
          <w:sz w:val="21"/>
          <w:szCs w:val="21"/>
        </w:rPr>
        <w:t>享有产品的收益分配权益。</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（2）购买确认成功后，如未发起全部赎回申请，本理财计划按日（自然日）</w:t>
      </w:r>
      <w:r w:rsidRPr="0060041A">
        <w:rPr>
          <w:rFonts w:ascii="新宋体" w:eastAsia="新宋体" w:hAnsi="新宋体"/>
          <w:color w:val="auto"/>
          <w:sz w:val="21"/>
          <w:szCs w:val="21"/>
        </w:rPr>
        <w:t>计算收益</w:t>
      </w:r>
      <w:r w:rsidRPr="0060041A">
        <w:rPr>
          <w:rFonts w:ascii="新宋体" w:eastAsia="新宋体" w:hAnsi="新宋体" w:hint="eastAsia"/>
          <w:color w:val="auto"/>
          <w:sz w:val="21"/>
          <w:szCs w:val="21"/>
        </w:rPr>
        <w:t>，并于每个工作日9:00前（具体以系统时间为准）</w:t>
      </w:r>
      <w:r w:rsidRPr="0060041A">
        <w:rPr>
          <w:rFonts w:ascii="新宋体" w:eastAsia="新宋体" w:hAnsi="新宋体"/>
          <w:color w:val="auto"/>
          <w:sz w:val="21"/>
          <w:szCs w:val="21"/>
        </w:rPr>
        <w:t>以</w:t>
      </w:r>
      <w:r w:rsidRPr="0060041A">
        <w:rPr>
          <w:rFonts w:ascii="新宋体" w:eastAsia="新宋体" w:hAnsi="新宋体" w:hint="eastAsia"/>
          <w:color w:val="auto"/>
          <w:sz w:val="21"/>
          <w:szCs w:val="21"/>
        </w:rPr>
        <w:t>理财</w:t>
      </w:r>
      <w:r w:rsidRPr="0060041A">
        <w:rPr>
          <w:rFonts w:ascii="新宋体" w:eastAsia="新宋体" w:hAnsi="新宋体"/>
          <w:color w:val="auto"/>
          <w:sz w:val="21"/>
          <w:szCs w:val="21"/>
        </w:rPr>
        <w:t>份额形式</w:t>
      </w:r>
      <w:r w:rsidRPr="0060041A">
        <w:rPr>
          <w:rFonts w:ascii="新宋体" w:eastAsia="新宋体" w:hAnsi="新宋体" w:hint="eastAsia"/>
          <w:color w:val="auto"/>
          <w:sz w:val="21"/>
          <w:szCs w:val="21"/>
        </w:rPr>
        <w:t>结转上日收益</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如发起全部赎回则按如下模式进行收益分配。</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w:t>
      </w:r>
      <w:r w:rsidRPr="0060041A">
        <w:rPr>
          <w:rFonts w:ascii="新宋体" w:eastAsia="新宋体" w:hAnsi="新宋体"/>
          <w:color w:val="auto"/>
          <w:sz w:val="21"/>
          <w:szCs w:val="21"/>
        </w:rPr>
        <w:t>全部赎回，</w:t>
      </w:r>
      <w:r w:rsidRPr="0060041A">
        <w:rPr>
          <w:rFonts w:ascii="新宋体" w:eastAsia="新宋体" w:hAnsi="新宋体" w:hint="eastAsia"/>
          <w:bCs/>
          <w:color w:val="auto"/>
          <w:sz w:val="21"/>
          <w:szCs w:val="21"/>
        </w:rPr>
        <w:t>如次日是工作日，</w:t>
      </w: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 xml:space="preserve">+1赎回确认后，收益以现金的形式给到客户，客户不再持有该产品 </w:t>
      </w: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 xml:space="preserve"> </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（含该时点，具体以系统时间为准）前</w:t>
      </w:r>
      <w:r w:rsidRPr="0060041A">
        <w:rPr>
          <w:rFonts w:ascii="新宋体" w:eastAsia="新宋体" w:hAnsi="新宋体"/>
          <w:color w:val="auto"/>
          <w:sz w:val="21"/>
          <w:szCs w:val="21"/>
        </w:rPr>
        <w:t>全部赎回，</w:t>
      </w:r>
      <w:r w:rsidRPr="0060041A">
        <w:rPr>
          <w:rFonts w:ascii="新宋体" w:eastAsia="新宋体" w:hAnsi="新宋体" w:hint="eastAsia"/>
          <w:bCs/>
          <w:color w:val="auto"/>
          <w:sz w:val="21"/>
          <w:szCs w:val="21"/>
        </w:rPr>
        <w:t>如次日是非工作日，</w:t>
      </w: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r w:rsidRPr="0060041A">
        <w:rPr>
          <w:rFonts w:ascii="新宋体" w:eastAsia="新宋体" w:hAnsi="新宋体"/>
          <w:color w:val="auto"/>
          <w:sz w:val="21"/>
          <w:szCs w:val="21"/>
        </w:rPr>
        <w:t>赎回确认后，收益以</w:t>
      </w:r>
      <w:r w:rsidRPr="0060041A">
        <w:rPr>
          <w:rFonts w:ascii="新宋体" w:eastAsia="新宋体" w:hAnsi="新宋体" w:hint="eastAsia"/>
          <w:color w:val="auto"/>
          <w:sz w:val="21"/>
          <w:szCs w:val="21"/>
        </w:rPr>
        <w:t>份额</w:t>
      </w:r>
      <w:r w:rsidRPr="0060041A">
        <w:rPr>
          <w:rFonts w:ascii="新宋体" w:eastAsia="新宋体" w:hAnsi="新宋体"/>
          <w:color w:val="auto"/>
          <w:sz w:val="21"/>
          <w:szCs w:val="21"/>
        </w:rPr>
        <w:t>的形式给到客户，客户</w:t>
      </w:r>
      <w:r w:rsidRPr="0060041A">
        <w:rPr>
          <w:rFonts w:ascii="新宋体" w:eastAsia="新宋体" w:hAnsi="新宋体" w:hint="eastAsia"/>
          <w:color w:val="auto"/>
          <w:sz w:val="21"/>
          <w:szCs w:val="21"/>
        </w:rPr>
        <w:t>再次</w:t>
      </w:r>
      <w:r w:rsidRPr="0060041A">
        <w:rPr>
          <w:rFonts w:ascii="新宋体" w:eastAsia="新宋体" w:hAnsi="新宋体"/>
          <w:color w:val="auto"/>
          <w:sz w:val="21"/>
          <w:szCs w:val="21"/>
        </w:rPr>
        <w:t xml:space="preserve">持有该产品 </w:t>
      </w:r>
      <w:r w:rsidRPr="0060041A">
        <w:rPr>
          <w:rFonts w:ascii="新宋体" w:eastAsia="新宋体" w:hAnsi="新宋体" w:hint="eastAsia"/>
          <w:color w:val="auto"/>
          <w:sz w:val="21"/>
          <w:szCs w:val="21"/>
        </w:rPr>
        <w:t>。</w:t>
      </w:r>
      <w:r w:rsidRPr="0060041A">
        <w:rPr>
          <w:rFonts w:ascii="新宋体" w:eastAsia="新宋体" w:hAnsi="新宋体"/>
          <w:color w:val="auto"/>
          <w:sz w:val="21"/>
          <w:szCs w:val="21"/>
        </w:rPr>
        <w:t xml:space="preserve"> </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3</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w:t>
      </w:r>
      <w:r w:rsidR="00E94A03">
        <w:rPr>
          <w:rFonts w:ascii="新宋体" w:eastAsia="新宋体" w:hAnsi="新宋体" w:hint="eastAsia"/>
          <w:color w:val="auto"/>
          <w:sz w:val="21"/>
          <w:szCs w:val="21"/>
        </w:rPr>
        <w:t>不</w:t>
      </w:r>
      <w:r w:rsidRPr="0060041A">
        <w:rPr>
          <w:rFonts w:ascii="新宋体" w:eastAsia="新宋体" w:hAnsi="新宋体" w:hint="eastAsia"/>
          <w:color w:val="auto"/>
          <w:sz w:val="21"/>
          <w:szCs w:val="21"/>
        </w:rPr>
        <w:t>含该时点，具体以系统时间为准）后的</w:t>
      </w:r>
      <w:r w:rsidRPr="0060041A">
        <w:rPr>
          <w:rFonts w:ascii="新宋体" w:eastAsia="新宋体" w:hAnsi="新宋体"/>
          <w:color w:val="auto"/>
          <w:sz w:val="21"/>
          <w:szCs w:val="21"/>
        </w:rPr>
        <w:t>全部赎回，</w:t>
      </w:r>
      <w:r w:rsidRPr="0060041A">
        <w:rPr>
          <w:rFonts w:ascii="新宋体" w:eastAsia="新宋体" w:hAnsi="新宋体" w:hint="eastAsia"/>
          <w:bCs/>
          <w:color w:val="auto"/>
          <w:sz w:val="21"/>
          <w:szCs w:val="21"/>
        </w:rPr>
        <w:t>如T</w:t>
      </w:r>
      <w:r w:rsidRPr="0060041A">
        <w:rPr>
          <w:rFonts w:ascii="新宋体" w:eastAsia="新宋体" w:hAnsi="新宋体"/>
          <w:bCs/>
          <w:color w:val="auto"/>
          <w:sz w:val="21"/>
          <w:szCs w:val="21"/>
        </w:rPr>
        <w:t>+1</w:t>
      </w:r>
      <w:r w:rsidRPr="0060041A">
        <w:rPr>
          <w:rFonts w:ascii="新宋体" w:eastAsia="新宋体" w:hAnsi="新宋体" w:hint="eastAsia"/>
          <w:bCs/>
          <w:color w:val="auto"/>
          <w:sz w:val="21"/>
          <w:szCs w:val="21"/>
        </w:rPr>
        <w:t>日的次日是工作日，</w:t>
      </w: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日</w:t>
      </w:r>
      <w:r w:rsidRPr="0060041A">
        <w:rPr>
          <w:rFonts w:ascii="新宋体" w:eastAsia="新宋体" w:hAnsi="新宋体"/>
          <w:color w:val="auto"/>
          <w:sz w:val="21"/>
          <w:szCs w:val="21"/>
        </w:rPr>
        <w:t>赎回确认后，收益以</w:t>
      </w:r>
      <w:r w:rsidRPr="0060041A">
        <w:rPr>
          <w:rFonts w:ascii="新宋体" w:eastAsia="新宋体" w:hAnsi="新宋体" w:hint="eastAsia"/>
          <w:color w:val="auto"/>
          <w:sz w:val="21"/>
          <w:szCs w:val="21"/>
        </w:rPr>
        <w:t>现金</w:t>
      </w:r>
      <w:r w:rsidRPr="0060041A">
        <w:rPr>
          <w:rFonts w:ascii="新宋体" w:eastAsia="新宋体" w:hAnsi="新宋体"/>
          <w:color w:val="auto"/>
          <w:sz w:val="21"/>
          <w:szCs w:val="21"/>
        </w:rPr>
        <w:t>的形式给到客户，客户</w:t>
      </w:r>
      <w:r w:rsidRPr="0060041A">
        <w:rPr>
          <w:rFonts w:ascii="新宋体" w:eastAsia="新宋体" w:hAnsi="新宋体" w:hint="eastAsia"/>
          <w:color w:val="auto"/>
          <w:sz w:val="21"/>
          <w:szCs w:val="21"/>
        </w:rPr>
        <w:t>不再</w:t>
      </w:r>
      <w:r w:rsidRPr="0060041A">
        <w:rPr>
          <w:rFonts w:ascii="新宋体" w:eastAsia="新宋体" w:hAnsi="新宋体"/>
          <w:color w:val="auto"/>
          <w:sz w:val="21"/>
          <w:szCs w:val="21"/>
        </w:rPr>
        <w:t>持有该产品</w:t>
      </w:r>
      <w:r w:rsidRPr="0060041A">
        <w:rPr>
          <w:rFonts w:ascii="新宋体" w:eastAsia="新宋体" w:hAnsi="新宋体" w:hint="eastAsia"/>
          <w:color w:val="auto"/>
          <w:sz w:val="21"/>
          <w:szCs w:val="21"/>
        </w:rPr>
        <w:t>。</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4</w:t>
      </w: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Pr="0060041A">
        <w:rPr>
          <w:rFonts w:ascii="新宋体" w:eastAsia="新宋体" w:hAnsi="新宋体" w:hint="eastAsia"/>
          <w:color w:val="auto"/>
          <w:sz w:val="21"/>
          <w:szCs w:val="21"/>
        </w:rPr>
        <w:t>（</w:t>
      </w:r>
      <w:r w:rsidR="00E94A03">
        <w:rPr>
          <w:rFonts w:ascii="新宋体" w:eastAsia="新宋体" w:hAnsi="新宋体" w:hint="eastAsia"/>
          <w:color w:val="auto"/>
          <w:sz w:val="21"/>
          <w:szCs w:val="21"/>
        </w:rPr>
        <w:t>不</w:t>
      </w:r>
      <w:r w:rsidRPr="0060041A">
        <w:rPr>
          <w:rFonts w:ascii="新宋体" w:eastAsia="新宋体" w:hAnsi="新宋体" w:hint="eastAsia"/>
          <w:color w:val="auto"/>
          <w:sz w:val="21"/>
          <w:szCs w:val="21"/>
        </w:rPr>
        <w:t>含该时点，具体以系统时间为准）后的</w:t>
      </w:r>
      <w:r w:rsidRPr="0060041A">
        <w:rPr>
          <w:rFonts w:ascii="新宋体" w:eastAsia="新宋体" w:hAnsi="新宋体"/>
          <w:color w:val="auto"/>
          <w:sz w:val="21"/>
          <w:szCs w:val="21"/>
        </w:rPr>
        <w:t>全部赎回，</w:t>
      </w:r>
      <w:r w:rsidRPr="0060041A">
        <w:rPr>
          <w:rFonts w:ascii="新宋体" w:eastAsia="新宋体" w:hAnsi="新宋体" w:hint="eastAsia"/>
          <w:bCs/>
          <w:color w:val="auto"/>
          <w:sz w:val="21"/>
          <w:szCs w:val="21"/>
        </w:rPr>
        <w:t>如T</w:t>
      </w:r>
      <w:r w:rsidRPr="0060041A">
        <w:rPr>
          <w:rFonts w:ascii="新宋体" w:eastAsia="新宋体" w:hAnsi="新宋体"/>
          <w:bCs/>
          <w:color w:val="auto"/>
          <w:sz w:val="21"/>
          <w:szCs w:val="21"/>
        </w:rPr>
        <w:t>+1</w:t>
      </w:r>
      <w:r w:rsidRPr="0060041A">
        <w:rPr>
          <w:rFonts w:ascii="新宋体" w:eastAsia="新宋体" w:hAnsi="新宋体" w:hint="eastAsia"/>
          <w:bCs/>
          <w:color w:val="auto"/>
          <w:sz w:val="21"/>
          <w:szCs w:val="21"/>
        </w:rPr>
        <w:t>日的次日是非工作日，</w:t>
      </w: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+2</w:t>
      </w:r>
      <w:r w:rsidRPr="0060041A">
        <w:rPr>
          <w:rFonts w:ascii="新宋体" w:eastAsia="新宋体" w:hAnsi="新宋体" w:hint="eastAsia"/>
          <w:color w:val="auto"/>
          <w:sz w:val="21"/>
          <w:szCs w:val="21"/>
        </w:rPr>
        <w:t>日</w:t>
      </w:r>
      <w:r w:rsidRPr="0060041A">
        <w:rPr>
          <w:rFonts w:ascii="新宋体" w:eastAsia="新宋体" w:hAnsi="新宋体"/>
          <w:color w:val="auto"/>
          <w:sz w:val="21"/>
          <w:szCs w:val="21"/>
        </w:rPr>
        <w:t>赎回确认后，收益以</w:t>
      </w:r>
      <w:r w:rsidRPr="0060041A">
        <w:rPr>
          <w:rFonts w:ascii="新宋体" w:eastAsia="新宋体" w:hAnsi="新宋体" w:hint="eastAsia"/>
          <w:color w:val="auto"/>
          <w:sz w:val="21"/>
          <w:szCs w:val="21"/>
        </w:rPr>
        <w:t>份额</w:t>
      </w:r>
      <w:r w:rsidRPr="0060041A">
        <w:rPr>
          <w:rFonts w:ascii="新宋体" w:eastAsia="新宋体" w:hAnsi="新宋体"/>
          <w:color w:val="auto"/>
          <w:sz w:val="21"/>
          <w:szCs w:val="21"/>
        </w:rPr>
        <w:t>的形式给到客户，客户再次持有该产品</w:t>
      </w:r>
      <w:r w:rsidRPr="0060041A">
        <w:rPr>
          <w:rFonts w:ascii="新宋体" w:eastAsia="新宋体" w:hAnsi="新宋体" w:hint="eastAsia"/>
          <w:color w:val="auto"/>
          <w:sz w:val="21"/>
          <w:szCs w:val="21"/>
        </w:rPr>
        <w:t>。</w:t>
      </w:r>
    </w:p>
    <w:tbl>
      <w:tblPr>
        <w:tblW w:w="5000" w:type="pc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48"/>
        <w:gridCol w:w="1447"/>
        <w:gridCol w:w="3610"/>
        <w:gridCol w:w="1689"/>
      </w:tblGrid>
      <w:tr w:rsidR="005E39AE" w:rsidRPr="0060041A">
        <w:tc>
          <w:tcPr>
            <w:tcW w:w="1029" w:type="pct"/>
          </w:tcPr>
          <w:p w:rsidR="005E39AE" w:rsidRPr="0060041A" w:rsidRDefault="005E39AE">
            <w:pPr>
              <w:snapToGrid w:val="0"/>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赎回申请时间</w:t>
            </w:r>
          </w:p>
        </w:tc>
        <w:tc>
          <w:tcPr>
            <w:tcW w:w="852" w:type="pct"/>
          </w:tcPr>
          <w:p w:rsidR="005E39AE" w:rsidRPr="0060041A" w:rsidRDefault="005E39AE">
            <w:pPr>
              <w:snapToGrid w:val="0"/>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申请受理日</w:t>
            </w:r>
          </w:p>
        </w:tc>
        <w:tc>
          <w:tcPr>
            <w:tcW w:w="2125" w:type="pct"/>
          </w:tcPr>
          <w:p w:rsidR="005E39AE" w:rsidRPr="0060041A" w:rsidRDefault="005E39AE">
            <w:pPr>
              <w:snapToGrid w:val="0"/>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申请受理日下一日是否为工作日</w:t>
            </w:r>
          </w:p>
        </w:tc>
        <w:tc>
          <w:tcPr>
            <w:tcW w:w="994" w:type="pct"/>
          </w:tcPr>
          <w:p w:rsidR="005E39AE" w:rsidRPr="0060041A" w:rsidRDefault="005E39AE">
            <w:pPr>
              <w:snapToGrid w:val="0"/>
              <w:spacing w:line="360" w:lineRule="auto"/>
              <w:jc w:val="left"/>
              <w:rPr>
                <w:rFonts w:ascii="新宋体" w:eastAsia="新宋体" w:hAnsi="新宋体"/>
                <w:color w:val="auto"/>
                <w:sz w:val="21"/>
                <w:szCs w:val="21"/>
              </w:rPr>
            </w:pPr>
            <w:r w:rsidRPr="0060041A">
              <w:rPr>
                <w:rFonts w:ascii="新宋体" w:eastAsia="新宋体" w:hAnsi="新宋体" w:hint="eastAsia"/>
                <w:color w:val="auto"/>
                <w:sz w:val="21"/>
                <w:szCs w:val="21"/>
              </w:rPr>
              <w:t>收益结转方式</w:t>
            </w:r>
          </w:p>
        </w:tc>
      </w:tr>
      <w:tr w:rsidR="005E39AE" w:rsidRPr="0060041A">
        <w:tc>
          <w:tcPr>
            <w:tcW w:w="1029" w:type="pct"/>
            <w:vMerge w:val="restar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r w:rsidR="00E94A03">
              <w:rPr>
                <w:rFonts w:ascii="新宋体" w:eastAsia="新宋体" w:hAnsi="新宋体" w:hint="eastAsia"/>
                <w:color w:val="auto"/>
                <w:sz w:val="21"/>
                <w:szCs w:val="21"/>
              </w:rPr>
              <w:t>（含）</w:t>
            </w:r>
            <w:r w:rsidRPr="0060041A">
              <w:rPr>
                <w:rFonts w:ascii="新宋体" w:eastAsia="新宋体" w:hAnsi="新宋体" w:hint="eastAsia"/>
                <w:color w:val="auto"/>
                <w:sz w:val="21"/>
                <w:szCs w:val="21"/>
              </w:rPr>
              <w:t>前</w:t>
            </w:r>
          </w:p>
        </w:tc>
        <w:tc>
          <w:tcPr>
            <w:tcW w:w="852"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T日</w:t>
            </w:r>
          </w:p>
        </w:tc>
        <w:tc>
          <w:tcPr>
            <w:tcW w:w="2125"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是</w:t>
            </w:r>
          </w:p>
        </w:tc>
        <w:tc>
          <w:tcPr>
            <w:tcW w:w="994"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现金</w:t>
            </w:r>
          </w:p>
        </w:tc>
      </w:tr>
      <w:tr w:rsidR="005E39AE" w:rsidRPr="0060041A">
        <w:tc>
          <w:tcPr>
            <w:tcW w:w="1029" w:type="pct"/>
            <w:vMerge/>
            <w:vAlign w:val="center"/>
          </w:tcPr>
          <w:p w:rsidR="005E39AE" w:rsidRPr="0060041A" w:rsidRDefault="005E39AE">
            <w:pPr>
              <w:snapToGrid w:val="0"/>
              <w:spacing w:line="360" w:lineRule="auto"/>
              <w:jc w:val="center"/>
              <w:rPr>
                <w:rFonts w:ascii="新宋体" w:eastAsia="新宋体" w:hAnsi="新宋体"/>
                <w:color w:val="auto"/>
                <w:sz w:val="21"/>
                <w:szCs w:val="21"/>
              </w:rPr>
            </w:pPr>
          </w:p>
        </w:tc>
        <w:tc>
          <w:tcPr>
            <w:tcW w:w="852"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T日</w:t>
            </w:r>
          </w:p>
        </w:tc>
        <w:tc>
          <w:tcPr>
            <w:tcW w:w="2125"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否</w:t>
            </w:r>
          </w:p>
        </w:tc>
        <w:tc>
          <w:tcPr>
            <w:tcW w:w="994"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份额</w:t>
            </w:r>
          </w:p>
        </w:tc>
      </w:tr>
      <w:tr w:rsidR="005E39AE" w:rsidRPr="0060041A">
        <w:tc>
          <w:tcPr>
            <w:tcW w:w="1029" w:type="pct"/>
            <w:vMerge w:val="restart"/>
            <w:vAlign w:val="center"/>
          </w:tcPr>
          <w:p w:rsidR="00E94A03"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T日</w:t>
            </w:r>
            <w:r w:rsidR="001A4C4C">
              <w:rPr>
                <w:rFonts w:ascii="新宋体" w:eastAsia="新宋体" w:hAnsi="新宋体" w:hint="eastAsia"/>
                <w:color w:val="auto"/>
                <w:sz w:val="21"/>
                <w:szCs w:val="21"/>
              </w:rPr>
              <w:t>15:30</w:t>
            </w:r>
          </w:p>
          <w:p w:rsidR="005E39AE" w:rsidRPr="0060041A" w:rsidRDefault="00E94A03">
            <w:pPr>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（不含）</w:t>
            </w:r>
            <w:r w:rsidR="005E39AE" w:rsidRPr="0060041A">
              <w:rPr>
                <w:rFonts w:ascii="新宋体" w:eastAsia="新宋体" w:hAnsi="新宋体" w:hint="eastAsia"/>
                <w:color w:val="auto"/>
                <w:sz w:val="21"/>
                <w:szCs w:val="21"/>
              </w:rPr>
              <w:t>后</w:t>
            </w:r>
          </w:p>
        </w:tc>
        <w:tc>
          <w:tcPr>
            <w:tcW w:w="852"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p>
        </w:tc>
        <w:tc>
          <w:tcPr>
            <w:tcW w:w="2125"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是</w:t>
            </w:r>
          </w:p>
        </w:tc>
        <w:tc>
          <w:tcPr>
            <w:tcW w:w="994"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现金</w:t>
            </w:r>
          </w:p>
        </w:tc>
      </w:tr>
      <w:tr w:rsidR="005E39AE" w:rsidRPr="0060041A">
        <w:tc>
          <w:tcPr>
            <w:tcW w:w="1029" w:type="pct"/>
            <w:vMerge/>
            <w:vAlign w:val="center"/>
          </w:tcPr>
          <w:p w:rsidR="005E39AE" w:rsidRPr="0060041A" w:rsidRDefault="005E39AE">
            <w:pPr>
              <w:snapToGrid w:val="0"/>
              <w:spacing w:line="360" w:lineRule="auto"/>
              <w:jc w:val="center"/>
              <w:rPr>
                <w:rFonts w:ascii="新宋体" w:eastAsia="新宋体" w:hAnsi="新宋体"/>
                <w:color w:val="auto"/>
                <w:sz w:val="21"/>
                <w:szCs w:val="21"/>
              </w:rPr>
            </w:pPr>
          </w:p>
        </w:tc>
        <w:tc>
          <w:tcPr>
            <w:tcW w:w="852"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T</w:t>
            </w:r>
            <w:r w:rsidRPr="0060041A">
              <w:rPr>
                <w:rFonts w:ascii="新宋体" w:eastAsia="新宋体" w:hAnsi="新宋体"/>
                <w:color w:val="auto"/>
                <w:sz w:val="21"/>
                <w:szCs w:val="21"/>
              </w:rPr>
              <w:t>+1</w:t>
            </w:r>
            <w:r w:rsidRPr="0060041A">
              <w:rPr>
                <w:rFonts w:ascii="新宋体" w:eastAsia="新宋体" w:hAnsi="新宋体" w:hint="eastAsia"/>
                <w:color w:val="auto"/>
                <w:sz w:val="21"/>
                <w:szCs w:val="21"/>
              </w:rPr>
              <w:t>日</w:t>
            </w:r>
          </w:p>
        </w:tc>
        <w:tc>
          <w:tcPr>
            <w:tcW w:w="2125"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否</w:t>
            </w:r>
          </w:p>
        </w:tc>
        <w:tc>
          <w:tcPr>
            <w:tcW w:w="994" w:type="pct"/>
            <w:vAlign w:val="center"/>
          </w:tcPr>
          <w:p w:rsidR="005E39AE" w:rsidRPr="0060041A" w:rsidRDefault="005E39AE">
            <w:pPr>
              <w:snapToGrid w:val="0"/>
              <w:spacing w:line="360" w:lineRule="auto"/>
              <w:jc w:val="center"/>
              <w:rPr>
                <w:rFonts w:ascii="新宋体" w:eastAsia="新宋体" w:hAnsi="新宋体"/>
                <w:color w:val="auto"/>
                <w:sz w:val="21"/>
                <w:szCs w:val="21"/>
              </w:rPr>
            </w:pPr>
            <w:r w:rsidRPr="0060041A">
              <w:rPr>
                <w:rFonts w:ascii="新宋体" w:eastAsia="新宋体" w:hAnsi="新宋体" w:hint="eastAsia"/>
                <w:color w:val="auto"/>
                <w:sz w:val="21"/>
                <w:szCs w:val="21"/>
              </w:rPr>
              <w:t>份额</w:t>
            </w:r>
          </w:p>
        </w:tc>
      </w:tr>
    </w:tbl>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2.持有份额及收益的计算依据</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投资者T日理财收益= 投资者T日持有的本理财产品份额×T日万份收益÷10000</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举例：</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假设投资者2020年2月6日（周四）持有本理财计划20万份。</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若2020年2月6日的万份收益为1.5555元，则该投资者2020年2月6日的理财收益为20</w:t>
      </w:r>
      <w:r w:rsidRPr="0060041A">
        <w:rPr>
          <w:rFonts w:ascii="新宋体" w:eastAsia="新宋体" w:hAnsi="新宋体"/>
          <w:color w:val="auto"/>
          <w:sz w:val="21"/>
          <w:szCs w:val="21"/>
        </w:rPr>
        <w:t>0000</w:t>
      </w:r>
      <w:r w:rsidRPr="0060041A">
        <w:rPr>
          <w:rFonts w:ascii="新宋体" w:eastAsia="新宋体" w:hAnsi="新宋体" w:hint="eastAsia"/>
          <w:color w:val="auto"/>
          <w:sz w:val="21"/>
          <w:szCs w:val="21"/>
        </w:rPr>
        <w:t>×1.5555/10000</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31.11元，青银理财系统将于2020年2月7日（周五）9:00前将31.11元收益以理财份额形式结转，因此，该投资者2020年2月7日的初始理财份额=200000+31.11=200031.11份（盈利）。</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若2020年2月6日的万份收益为-1.5555元，则该投资者2020年2月6日的理财收益为20</w:t>
      </w:r>
      <w:r w:rsidRPr="0060041A">
        <w:rPr>
          <w:rFonts w:ascii="新宋体" w:eastAsia="新宋体" w:hAnsi="新宋体"/>
          <w:color w:val="auto"/>
          <w:sz w:val="21"/>
          <w:szCs w:val="21"/>
        </w:rPr>
        <w:t>0000</w:t>
      </w:r>
      <w:r w:rsidRPr="0060041A">
        <w:rPr>
          <w:rFonts w:ascii="新宋体" w:eastAsia="新宋体" w:hAnsi="新宋体" w:hint="eastAsia"/>
          <w:color w:val="auto"/>
          <w:sz w:val="21"/>
          <w:szCs w:val="21"/>
        </w:rPr>
        <w:t>×-1.5555/10000</w:t>
      </w:r>
      <w:r w:rsidRPr="0060041A">
        <w:rPr>
          <w:rFonts w:ascii="新宋体" w:eastAsia="新宋体" w:hAnsi="新宋体"/>
          <w:color w:val="auto"/>
          <w:sz w:val="21"/>
          <w:szCs w:val="21"/>
        </w:rPr>
        <w:t>=</w:t>
      </w:r>
      <w:r w:rsidRPr="0060041A">
        <w:rPr>
          <w:rFonts w:ascii="新宋体" w:eastAsia="新宋体" w:hAnsi="新宋体" w:hint="eastAsia"/>
          <w:color w:val="auto"/>
          <w:sz w:val="21"/>
          <w:szCs w:val="21"/>
        </w:rPr>
        <w:t>-31.11元，青银理财系统将于2020年2月7日（周五）9:00前将-31.11元收益以理财份额形式结转，因此，该投资者2020年2月7日的初始理财份额=200000-31.11=199968.89份（亏损）。</w:t>
      </w:r>
    </w:p>
    <w:p w:rsidR="005E39AE" w:rsidRPr="0060041A" w:rsidRDefault="005E39AE">
      <w:pPr>
        <w:snapToGrid w:val="0"/>
        <w:spacing w:line="360" w:lineRule="auto"/>
        <w:ind w:firstLineChars="200" w:firstLine="422"/>
        <w:jc w:val="left"/>
        <w:rPr>
          <w:rFonts w:ascii="新宋体" w:eastAsia="新宋体" w:hAnsi="新宋体" w:cs="宋体"/>
          <w:b/>
          <w:color w:val="auto"/>
          <w:kern w:val="0"/>
          <w:sz w:val="21"/>
          <w:szCs w:val="21"/>
        </w:rPr>
      </w:pPr>
      <w:r w:rsidRPr="0060041A">
        <w:rPr>
          <w:rFonts w:ascii="新宋体" w:eastAsia="新宋体" w:hAnsi="新宋体" w:cs="宋体" w:hint="eastAsia"/>
          <w:b/>
          <w:color w:val="auto"/>
          <w:kern w:val="0"/>
          <w:sz w:val="21"/>
          <w:szCs w:val="21"/>
        </w:rPr>
        <w:t>（上述示例采用假设数据计算，测算收益不等于实际收益，投资须谨慎）</w:t>
      </w:r>
    </w:p>
    <w:p w:rsidR="005E39AE" w:rsidRPr="0060041A" w:rsidRDefault="005E39AE">
      <w:pPr>
        <w:snapToGrid w:val="0"/>
        <w:spacing w:line="360" w:lineRule="auto"/>
        <w:ind w:firstLineChars="200" w:firstLine="422"/>
        <w:jc w:val="left"/>
        <w:rPr>
          <w:rFonts w:ascii="新宋体" w:eastAsia="新宋体" w:hAnsi="新宋体" w:cs="宋体"/>
          <w:b/>
          <w:color w:val="auto"/>
          <w:kern w:val="0"/>
          <w:sz w:val="21"/>
          <w:szCs w:val="21"/>
        </w:rPr>
      </w:pPr>
      <w:r w:rsidRPr="0060041A">
        <w:rPr>
          <w:rFonts w:ascii="新宋体" w:eastAsia="新宋体" w:hAnsi="新宋体" w:hint="eastAsia"/>
          <w:b/>
          <w:color w:val="auto"/>
          <w:sz w:val="21"/>
          <w:szCs w:val="21"/>
        </w:rPr>
        <w:t>提示：以上T日、T+1、T</w:t>
      </w:r>
      <w:r w:rsidRPr="0060041A">
        <w:rPr>
          <w:rFonts w:ascii="新宋体" w:eastAsia="新宋体" w:hAnsi="新宋体"/>
          <w:b/>
          <w:color w:val="auto"/>
          <w:sz w:val="21"/>
          <w:szCs w:val="21"/>
        </w:rPr>
        <w:t>+2</w:t>
      </w:r>
      <w:r w:rsidRPr="0060041A">
        <w:rPr>
          <w:rFonts w:ascii="新宋体" w:eastAsia="新宋体" w:hAnsi="新宋体" w:hint="eastAsia"/>
          <w:b/>
          <w:color w:val="auto"/>
          <w:sz w:val="21"/>
          <w:szCs w:val="21"/>
        </w:rPr>
        <w:t>日均指工作日，非工作日的理财收益将于下一个工作日结转</w:t>
      </w:r>
      <w:r w:rsidRPr="0060041A">
        <w:rPr>
          <w:rFonts w:ascii="新宋体" w:eastAsia="新宋体" w:hAnsi="新宋体" w:cs="宋体" w:hint="eastAsia"/>
          <w:b/>
          <w:color w:val="auto"/>
          <w:kern w:val="0"/>
          <w:sz w:val="21"/>
          <w:szCs w:val="21"/>
        </w:rPr>
        <w:t>,投资者持有的理财份额以青银理财理财系统清算登记份额数据为准。</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十四、产品费用</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本理财计划所承担的费用包括产品管理费</w:t>
      </w:r>
      <w:r w:rsidR="0045603B" w:rsidRPr="00690B4B">
        <w:rPr>
          <w:rFonts w:ascii="新宋体" w:eastAsia="新宋体" w:hAnsi="新宋体" w:cs="新宋体" w:hint="eastAsia"/>
          <w:sz w:val="21"/>
          <w:szCs w:val="21"/>
        </w:rPr>
        <w:t>（</w:t>
      </w:r>
      <w:r w:rsidR="0045603B" w:rsidRPr="00690B4B">
        <w:rPr>
          <w:rFonts w:ascii="新宋体" w:eastAsia="新宋体" w:hAnsi="新宋体" w:cs="新宋体" w:hint="eastAsia"/>
          <w:b/>
          <w:bCs/>
          <w:sz w:val="21"/>
          <w:szCs w:val="21"/>
        </w:rPr>
        <w:t>A份额年化费率为</w:t>
      </w:r>
      <w:r w:rsidR="0045603B" w:rsidRPr="0045603B">
        <w:rPr>
          <w:rFonts w:ascii="新宋体" w:eastAsia="新宋体" w:hAnsi="新宋体" w:cs="新宋体"/>
          <w:b/>
          <w:bCs/>
          <w:sz w:val="21"/>
          <w:szCs w:val="21"/>
        </w:rPr>
        <w:t>0.40%</w:t>
      </w:r>
      <w:r w:rsidR="0045603B" w:rsidRPr="00690B4B">
        <w:rPr>
          <w:rFonts w:ascii="新宋体" w:eastAsia="新宋体" w:hAnsi="新宋体" w:cs="新宋体" w:hint="eastAsia"/>
          <w:bCs/>
          <w:sz w:val="21"/>
          <w:szCs w:val="21"/>
        </w:rPr>
        <w:t>）</w:t>
      </w:r>
      <w:r w:rsidRPr="0060041A">
        <w:rPr>
          <w:rFonts w:ascii="新宋体" w:eastAsia="新宋体" w:hAnsi="新宋体" w:cs="宋体" w:hint="eastAsia"/>
          <w:color w:val="auto"/>
          <w:kern w:val="0"/>
          <w:sz w:val="21"/>
          <w:szCs w:val="21"/>
        </w:rPr>
        <w:t>、托管费（年化费率为</w:t>
      </w:r>
      <w:r w:rsidR="00344770">
        <w:rPr>
          <w:rFonts w:ascii="新宋体" w:eastAsia="新宋体" w:hAnsi="新宋体" w:cs="宋体"/>
          <w:color w:val="auto"/>
          <w:kern w:val="0"/>
          <w:sz w:val="21"/>
          <w:szCs w:val="21"/>
        </w:rPr>
        <w:t>0.010%</w:t>
      </w:r>
      <w:r w:rsidRPr="0060041A">
        <w:rPr>
          <w:rFonts w:ascii="新宋体" w:eastAsia="新宋体" w:hAnsi="新宋体" w:cs="宋体" w:hint="eastAsia"/>
          <w:color w:val="auto"/>
          <w:kern w:val="0"/>
          <w:sz w:val="21"/>
          <w:szCs w:val="21"/>
        </w:rPr>
        <w:t>）、业绩报酬</w:t>
      </w:r>
      <w:bookmarkStart w:id="2" w:name="_Hlk149126719"/>
      <w:r w:rsidRPr="0060041A">
        <w:rPr>
          <w:rFonts w:ascii="新宋体" w:eastAsia="新宋体" w:hAnsi="新宋体" w:cs="宋体" w:hint="eastAsia"/>
          <w:color w:val="auto"/>
          <w:kern w:val="0"/>
          <w:sz w:val="21"/>
          <w:szCs w:val="21"/>
        </w:rPr>
        <w:t>、增值税及附加税费等费用</w:t>
      </w:r>
      <w:bookmarkEnd w:id="2"/>
      <w:r w:rsidRPr="0060041A">
        <w:rPr>
          <w:rFonts w:ascii="新宋体" w:eastAsia="新宋体" w:hAnsi="新宋体" w:cs="宋体" w:hint="eastAsia"/>
          <w:color w:val="auto"/>
          <w:kern w:val="0"/>
          <w:sz w:val="21"/>
          <w:szCs w:val="21"/>
        </w:rPr>
        <w:t>，以及其他应由理财产品资产承担的费用，</w:t>
      </w:r>
      <w:bookmarkStart w:id="3" w:name="_Hlk149126741"/>
      <w:r w:rsidRPr="0060041A">
        <w:rPr>
          <w:rFonts w:ascii="新宋体" w:eastAsia="新宋体" w:hAnsi="新宋体" w:cs="宋体" w:hint="eastAsia"/>
          <w:color w:val="auto"/>
          <w:kern w:val="0"/>
          <w:sz w:val="21"/>
          <w:szCs w:val="21"/>
        </w:rPr>
        <w:t>包括但不限于产品开户费用、账户维护费用、银行划款费用、交易费用、验资费、审计费、律师费、诉讼费、信息披露费、清算费、执行费等相关费用，按照法律法规规定在本理财产品资产中列支</w:t>
      </w:r>
      <w:bookmarkEnd w:id="3"/>
      <w:r w:rsidRPr="0060041A">
        <w:rPr>
          <w:rFonts w:ascii="新宋体" w:eastAsia="新宋体" w:hAnsi="新宋体" w:cs="宋体" w:hint="eastAsia"/>
          <w:color w:val="auto"/>
          <w:kern w:val="0"/>
          <w:sz w:val="21"/>
          <w:szCs w:val="21"/>
        </w:rPr>
        <w:t>。</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1.管理人的管理费</w:t>
      </w:r>
    </w:p>
    <w:p w:rsidR="0045603B" w:rsidRDefault="0045603B">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sidRPr="0045603B">
        <w:rPr>
          <w:rFonts w:ascii="新宋体" w:eastAsia="新宋体" w:hAnsi="新宋体" w:cs="新宋体" w:hint="eastAsia"/>
          <w:sz w:val="21"/>
          <w:szCs w:val="21"/>
        </w:rPr>
        <w:t>固定管理费按当日本理财计划存续份额的</w:t>
      </w:r>
      <w:r w:rsidRPr="0045603B">
        <w:rPr>
          <w:rFonts w:ascii="新宋体" w:eastAsia="新宋体" w:hAnsi="新宋体" w:cs="新宋体"/>
          <w:sz w:val="21"/>
          <w:szCs w:val="21"/>
        </w:rPr>
        <w:t>A 份额【</w:t>
      </w:r>
      <w:r w:rsidRPr="0045603B">
        <w:rPr>
          <w:rFonts w:ascii="新宋体" w:eastAsia="新宋体" w:hAnsi="新宋体" w:cs="新宋体"/>
          <w:b/>
          <w:sz w:val="21"/>
          <w:szCs w:val="21"/>
        </w:rPr>
        <w:t>0.40</w:t>
      </w:r>
      <w:r w:rsidRPr="0045603B">
        <w:rPr>
          <w:rFonts w:ascii="新宋体" w:eastAsia="新宋体" w:hAnsi="新宋体" w:cs="新宋体"/>
          <w:sz w:val="21"/>
          <w:szCs w:val="21"/>
        </w:rPr>
        <w:t>】%年费率计提，由理财管理人收取。以A份额为例，计算方法如下：</w:t>
      </w:r>
      <w:bookmarkStart w:id="4" w:name="_GoBack"/>
      <w:bookmarkEnd w:id="4"/>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H＝E×</w:t>
      </w:r>
      <w:r w:rsidR="00E4260E" w:rsidRPr="0060041A">
        <w:rPr>
          <w:rFonts w:ascii="新宋体" w:eastAsia="新宋体" w:hAnsi="新宋体" w:cs="宋体"/>
          <w:color w:val="auto"/>
          <w:kern w:val="0"/>
          <w:sz w:val="21"/>
          <w:szCs w:val="21"/>
        </w:rPr>
        <w:t>0.4</w:t>
      </w:r>
      <w:r w:rsidRPr="0060041A">
        <w:rPr>
          <w:rFonts w:ascii="新宋体" w:eastAsia="新宋体" w:hAnsi="新宋体" w:cs="宋体"/>
          <w:color w:val="auto"/>
          <w:kern w:val="0"/>
          <w:sz w:val="21"/>
          <w:szCs w:val="21"/>
        </w:rPr>
        <w:t>0</w:t>
      </w:r>
      <w:r w:rsidRPr="0060041A">
        <w:rPr>
          <w:rFonts w:ascii="新宋体" w:eastAsia="新宋体" w:hAnsi="新宋体" w:cs="宋体" w:hint="eastAsia"/>
          <w:color w:val="auto"/>
          <w:kern w:val="0"/>
          <w:sz w:val="21"/>
          <w:szCs w:val="21"/>
        </w:rPr>
        <w:t>%÷365</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H为每日应计提的产品管理费</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E为当日本理财计划存续份额</w:t>
      </w:r>
    </w:p>
    <w:p w:rsidR="004102BC" w:rsidRPr="0060041A" w:rsidRDefault="004102BC">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当本理财计划投资运作收益小于“业绩比较基准”时，管理人将有权放弃计提的管理费，最高为已计提的全部管理费。</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2.托管人的托管费</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托管费按当日本理财计划存续份额的</w:t>
      </w:r>
      <w:r w:rsidR="00344770">
        <w:rPr>
          <w:rFonts w:ascii="新宋体" w:eastAsia="新宋体" w:hAnsi="新宋体" w:cs="宋体"/>
          <w:color w:val="auto"/>
          <w:kern w:val="0"/>
          <w:sz w:val="21"/>
          <w:szCs w:val="21"/>
        </w:rPr>
        <w:t>0.010%</w:t>
      </w:r>
      <w:r w:rsidRPr="0060041A">
        <w:rPr>
          <w:rFonts w:ascii="新宋体" w:eastAsia="新宋体" w:hAnsi="新宋体" w:cs="宋体" w:hint="eastAsia"/>
          <w:color w:val="auto"/>
          <w:kern w:val="0"/>
          <w:sz w:val="21"/>
          <w:szCs w:val="21"/>
        </w:rPr>
        <w:t>年费率计提，由理财托管人收取。计算方法：</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H＝E×</w:t>
      </w:r>
      <w:r w:rsidR="00344770">
        <w:rPr>
          <w:rFonts w:ascii="新宋体" w:eastAsia="新宋体" w:hAnsi="新宋体" w:cs="宋体"/>
          <w:color w:val="auto"/>
          <w:kern w:val="0"/>
          <w:sz w:val="21"/>
          <w:szCs w:val="21"/>
        </w:rPr>
        <w:t>0.010%</w:t>
      </w:r>
      <w:r w:rsidRPr="0060041A">
        <w:rPr>
          <w:rFonts w:ascii="新宋体" w:eastAsia="新宋体" w:hAnsi="新宋体" w:cs="宋体" w:hint="eastAsia"/>
          <w:color w:val="auto"/>
          <w:kern w:val="0"/>
          <w:sz w:val="21"/>
          <w:szCs w:val="21"/>
        </w:rPr>
        <w:t>÷365</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H为每日应计提的产品托管费</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E为当日本理财计划存续份额</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3</w:t>
      </w:r>
      <w:r w:rsidRPr="0060041A">
        <w:rPr>
          <w:rFonts w:ascii="新宋体" w:eastAsia="新宋体" w:hAnsi="新宋体" w:cs="宋体"/>
          <w:color w:val="auto"/>
          <w:kern w:val="0"/>
          <w:sz w:val="21"/>
          <w:szCs w:val="21"/>
        </w:rPr>
        <w:t>.</w:t>
      </w:r>
      <w:r w:rsidRPr="0060041A">
        <w:rPr>
          <w:rFonts w:ascii="新宋体" w:eastAsia="新宋体" w:hAnsi="新宋体" w:cs="宋体" w:hint="eastAsia"/>
          <w:color w:val="auto"/>
          <w:kern w:val="0"/>
          <w:sz w:val="21"/>
          <w:szCs w:val="21"/>
        </w:rPr>
        <w:t>强制赎回费</w:t>
      </w:r>
    </w:p>
    <w:p w:rsidR="005E39AE" w:rsidRPr="0060041A"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（1）在满足相关流动性风险管理要求的前提下，当本理财计划持有的现金、国债、中央银行票据、政策性金融债券以及</w:t>
      </w:r>
      <w:r w:rsidRPr="0060041A">
        <w:rPr>
          <w:rFonts w:ascii="新宋体" w:eastAsia="新宋体" w:hAnsi="新宋体" w:cs="宋体"/>
          <w:color w:val="auto"/>
          <w:kern w:val="0"/>
          <w:sz w:val="21"/>
          <w:szCs w:val="21"/>
        </w:rPr>
        <w:t>5个交易日内到期的其他金融工具占产品资产净值的比例合计低于5%且偏离度为负时，</w:t>
      </w:r>
      <w:r w:rsidRPr="0060041A">
        <w:rPr>
          <w:rFonts w:ascii="新宋体" w:eastAsia="新宋体" w:hAnsi="新宋体" w:cs="宋体" w:hint="eastAsia"/>
          <w:color w:val="auto"/>
          <w:kern w:val="0"/>
          <w:sz w:val="21"/>
          <w:szCs w:val="21"/>
        </w:rPr>
        <w:t>理财管理人将</w:t>
      </w:r>
      <w:r w:rsidRPr="0060041A">
        <w:rPr>
          <w:rFonts w:ascii="新宋体" w:eastAsia="新宋体" w:hAnsi="新宋体" w:cs="宋体"/>
          <w:color w:val="auto"/>
          <w:kern w:val="0"/>
          <w:sz w:val="21"/>
          <w:szCs w:val="21"/>
        </w:rPr>
        <w:t>对当日单个产品投资者申请赎回份额超过现金管理类产品总份额1%以上的赎回申请征收1%的强制赎回费用，并将上述赎回费用全额计入该产品财产。</w:t>
      </w:r>
    </w:p>
    <w:p w:rsidR="005E39AE" w:rsidRDefault="005E39AE">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sidRPr="0060041A">
        <w:rPr>
          <w:rFonts w:ascii="新宋体" w:eastAsia="新宋体" w:hAnsi="新宋体" w:cs="宋体" w:hint="eastAsia"/>
          <w:color w:val="auto"/>
          <w:kern w:val="0"/>
          <w:sz w:val="21"/>
          <w:szCs w:val="21"/>
        </w:rPr>
        <w:t>（2）本理财计划前</w:t>
      </w:r>
      <w:r w:rsidRPr="0060041A">
        <w:rPr>
          <w:rFonts w:ascii="新宋体" w:eastAsia="新宋体" w:hAnsi="新宋体" w:cs="宋体"/>
          <w:color w:val="auto"/>
          <w:kern w:val="0"/>
          <w:sz w:val="21"/>
          <w:szCs w:val="21"/>
        </w:rPr>
        <w:t>10名投资者的持有份额合计超过该产品总份额50%的，当投资组合中现金、国债、中央银行票据、政策性金融债券以及5个交易日内到期的其他金融工具占该产品资产净值的比例合计低于10%且偏离度为负时，</w:t>
      </w:r>
      <w:r w:rsidRPr="0060041A">
        <w:rPr>
          <w:rFonts w:ascii="新宋体" w:eastAsia="新宋体" w:hAnsi="新宋体" w:cs="宋体" w:hint="eastAsia"/>
          <w:color w:val="auto"/>
          <w:kern w:val="0"/>
          <w:sz w:val="21"/>
          <w:szCs w:val="21"/>
        </w:rPr>
        <w:t>理财管理人将</w:t>
      </w:r>
      <w:r w:rsidRPr="0060041A">
        <w:rPr>
          <w:rFonts w:ascii="新宋体" w:eastAsia="新宋体" w:hAnsi="新宋体" w:cs="宋体"/>
          <w:color w:val="auto"/>
          <w:kern w:val="0"/>
          <w:sz w:val="21"/>
          <w:szCs w:val="21"/>
        </w:rPr>
        <w:t>对投资者超过该产品总份额1%以上的赎回申请征收1%的强制赎回费用。</w:t>
      </w:r>
    </w:p>
    <w:p w:rsidR="00796891" w:rsidRPr="00796891" w:rsidRDefault="00796891" w:rsidP="00796891">
      <w:pPr>
        <w:snapToGrid w:val="0"/>
        <w:spacing w:line="360" w:lineRule="auto"/>
        <w:ind w:firstLineChars="196" w:firstLine="413"/>
        <w:jc w:val="left"/>
        <w:rPr>
          <w:rFonts w:ascii="新宋体" w:eastAsia="新宋体" w:hAnsi="新宋体" w:hint="eastAsia"/>
          <w:b/>
          <w:color w:val="auto"/>
          <w:sz w:val="21"/>
          <w:szCs w:val="21"/>
        </w:rPr>
      </w:pPr>
      <w:r w:rsidRPr="007D5DF8">
        <w:rPr>
          <w:rFonts w:ascii="新宋体" w:eastAsia="新宋体" w:hAnsi="新宋体" w:hint="eastAsia"/>
          <w:b/>
          <w:color w:val="auto"/>
          <w:sz w:val="21"/>
          <w:szCs w:val="21"/>
        </w:rPr>
        <w:t>青银理财有权根据相关法律和国家政策的规定，对本理财计划的收费项目、条件、标准和方式进行调整。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4"/>
        </w:rPr>
        <w:t>十五、产品到期终止</w:t>
      </w:r>
    </w:p>
    <w:p w:rsidR="005E39AE" w:rsidRPr="0060041A" w:rsidRDefault="005E39AE">
      <w:pPr>
        <w:snapToGrid w:val="0"/>
        <w:spacing w:line="360" w:lineRule="auto"/>
        <w:ind w:firstLineChars="200" w:firstLine="420"/>
        <w:jc w:val="left"/>
        <w:rPr>
          <w:rFonts w:ascii="新宋体" w:eastAsia="新宋体" w:hAnsi="新宋体"/>
          <w:b/>
          <w:color w:val="auto"/>
          <w:sz w:val="21"/>
          <w:szCs w:val="21"/>
        </w:rPr>
      </w:pPr>
      <w:r w:rsidRPr="0060041A">
        <w:rPr>
          <w:rFonts w:ascii="新宋体" w:eastAsia="新宋体" w:hAnsi="新宋体" w:cs="宋体" w:hint="eastAsia"/>
          <w:color w:val="auto"/>
          <w:kern w:val="0"/>
          <w:sz w:val="21"/>
          <w:szCs w:val="21"/>
        </w:rPr>
        <w:t>如本理财计划到期(包括提前和延期终止到期)，青银理财</w:t>
      </w:r>
      <w:r w:rsidRPr="0060041A">
        <w:rPr>
          <w:rFonts w:ascii="新宋体" w:eastAsia="新宋体" w:hAnsi="新宋体" w:hint="eastAsia"/>
          <w:color w:val="auto"/>
          <w:sz w:val="21"/>
          <w:szCs w:val="21"/>
        </w:rPr>
        <w:t>将在产品到期日起5个工作日内，在青银理财网站</w:t>
      </w:r>
      <w:r w:rsidRPr="0060041A">
        <w:rPr>
          <w:rFonts w:ascii="新宋体" w:eastAsia="新宋体" w:hAnsi="新宋体"/>
          <w:color w:val="auto"/>
          <w:sz w:val="21"/>
          <w:szCs w:val="21"/>
        </w:rPr>
        <w:t>或青银理财认为适当的其他方式</w:t>
      </w:r>
      <w:r w:rsidRPr="0060041A">
        <w:rPr>
          <w:rFonts w:ascii="新宋体" w:eastAsia="新宋体" w:hAnsi="新宋体" w:hint="eastAsia"/>
          <w:color w:val="auto"/>
          <w:sz w:val="21"/>
          <w:szCs w:val="21"/>
        </w:rPr>
        <w:t>公告本理财计划到期信息。</w:t>
      </w:r>
      <w:r w:rsidRPr="0060041A">
        <w:rPr>
          <w:rFonts w:ascii="新宋体" w:eastAsia="新宋体" w:hAnsi="新宋体" w:hint="eastAsia"/>
          <w:b/>
          <w:color w:val="auto"/>
          <w:sz w:val="21"/>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5E39AE" w:rsidRPr="0060041A" w:rsidRDefault="005E39AE">
      <w:pPr>
        <w:spacing w:line="360" w:lineRule="auto"/>
        <w:ind w:firstLineChars="200" w:firstLine="422"/>
        <w:rPr>
          <w:rFonts w:ascii="新宋体" w:eastAsia="新宋体" w:hAnsi="新宋体" w:cs="宋体"/>
          <w:color w:val="auto"/>
          <w:kern w:val="0"/>
          <w:sz w:val="21"/>
          <w:szCs w:val="21"/>
        </w:rPr>
      </w:pPr>
      <w:r w:rsidRPr="0060041A">
        <w:rPr>
          <w:rFonts w:ascii="新宋体" w:eastAsia="新宋体" w:hAnsi="新宋体" w:cs="宋体" w:hint="eastAsia"/>
          <w:b/>
          <w:color w:val="auto"/>
          <w:kern w:val="0"/>
          <w:sz w:val="21"/>
          <w:szCs w:val="21"/>
        </w:rPr>
        <w:t>在理财产品投资运作期间内，投资者无权要求提前终止该理财产品；</w:t>
      </w:r>
      <w:r w:rsidRPr="0060041A">
        <w:rPr>
          <w:rFonts w:ascii="新宋体" w:eastAsia="新宋体" w:hAnsi="新宋体" w:hint="eastAsia"/>
          <w:color w:val="auto"/>
          <w:sz w:val="21"/>
          <w:szCs w:val="21"/>
        </w:rPr>
        <w:t>管理人有权按照监管要求或实际投资情况终止本理财产品。</w:t>
      </w:r>
      <w:r w:rsidRPr="0060041A">
        <w:rPr>
          <w:rFonts w:ascii="新宋体" w:eastAsia="新宋体" w:hAnsi="新宋体" w:cs="宋体" w:hint="eastAsia"/>
          <w:color w:val="auto"/>
          <w:kern w:val="0"/>
          <w:sz w:val="21"/>
          <w:szCs w:val="21"/>
        </w:rPr>
        <w:t>当青银理财决定提前终止本产品时，将在提前终止日前两个工作日通过青银理财官方网站（</w:t>
      </w:r>
      <w:r w:rsidRPr="0060041A">
        <w:rPr>
          <w:rFonts w:ascii="新宋体" w:eastAsia="新宋体" w:hAnsi="新宋体" w:cs="宋体"/>
          <w:color w:val="auto"/>
          <w:kern w:val="0"/>
          <w:sz w:val="21"/>
          <w:szCs w:val="21"/>
        </w:rPr>
        <w:t>www.bqd-wm.com）或青银理财认为适当的其他方式进行公告。提前终止日后将投资者理财资金及理财收益（如有）划入投资者理财账户。提前终止日（含当日）至资金实际到账日之间，投资者资金不计息。</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hint="eastAsia"/>
          <w:color w:val="auto"/>
          <w:sz w:val="21"/>
          <w:szCs w:val="21"/>
        </w:rPr>
        <w:t>如出现如下情况，理财管理人有权延期终止本理财产品：</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1.产品到期日遇非工作日顺延，投资期限将相应调整；</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2.预计在本产品到期日，本理财计划所投资的资产因市场风险、信用风险以及其他原因（包括但不限于资产限制赎回、暂停交易、缺乏交易对手）无法全部变现；</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3.本产品涉及诉讼或仲裁，且预计诉讼或仲裁及执行程序在本产品到期日尚未终结；</w:t>
      </w:r>
    </w:p>
    <w:p w:rsidR="005E39AE" w:rsidRPr="0060041A" w:rsidRDefault="005E39AE">
      <w:pPr>
        <w:snapToGrid w:val="0"/>
        <w:spacing w:line="360" w:lineRule="auto"/>
        <w:ind w:firstLineChars="200" w:firstLine="420"/>
        <w:jc w:val="left"/>
        <w:rPr>
          <w:rFonts w:ascii="新宋体" w:eastAsia="新宋体" w:hAnsi="新宋体"/>
          <w:color w:val="auto"/>
          <w:sz w:val="21"/>
          <w:szCs w:val="21"/>
        </w:rPr>
      </w:pPr>
      <w:r w:rsidRPr="0060041A">
        <w:rPr>
          <w:rFonts w:ascii="新宋体" w:eastAsia="新宋体" w:hAnsi="新宋体"/>
          <w:color w:val="auto"/>
          <w:sz w:val="21"/>
          <w:szCs w:val="21"/>
        </w:rPr>
        <w:t>4.法律法规规定的或管理人根据实际情况合理判断有必要延期的其他情形。</w:t>
      </w:r>
    </w:p>
    <w:p w:rsidR="005E39AE" w:rsidRPr="0060041A" w:rsidRDefault="005E39AE">
      <w:pPr>
        <w:spacing w:line="360" w:lineRule="auto"/>
        <w:ind w:firstLineChars="200" w:firstLine="420"/>
        <w:rPr>
          <w:rFonts w:ascii="新宋体" w:eastAsia="新宋体" w:hAnsi="新宋体"/>
          <w:b/>
          <w:color w:val="auto"/>
          <w:sz w:val="21"/>
          <w:szCs w:val="21"/>
        </w:rPr>
      </w:pPr>
      <w:r w:rsidRPr="0060041A">
        <w:rPr>
          <w:rFonts w:ascii="新宋体" w:eastAsia="新宋体" w:hAnsi="新宋体" w:hint="eastAsia"/>
          <w:color w:val="auto"/>
          <w:sz w:val="21"/>
          <w:szCs w:val="21"/>
        </w:rPr>
        <w:t>当青银理财决定延期终止本产品时，将在延期终止日前两个工作日通过青银理财官方网站（</w:t>
      </w:r>
      <w:r w:rsidRPr="0060041A">
        <w:rPr>
          <w:rFonts w:ascii="新宋体" w:eastAsia="新宋体" w:hAnsi="新宋体"/>
          <w:color w:val="auto"/>
          <w:sz w:val="21"/>
          <w:szCs w:val="21"/>
        </w:rPr>
        <w:t>www.bqd-wm.com）或青银理财认为适当的其他方式进行公告。延期终止日后将投资者理财资金及理财收益（如有）划入投资者理财账户。延期终止日（含当日）至资金实际到账日之间，投资者资金不计息。</w:t>
      </w:r>
    </w:p>
    <w:p w:rsidR="005E39AE" w:rsidRPr="0060041A" w:rsidRDefault="005E39AE">
      <w:pPr>
        <w:spacing w:line="360" w:lineRule="auto"/>
        <w:ind w:left="397"/>
        <w:rPr>
          <w:rFonts w:ascii="新宋体" w:eastAsia="新宋体" w:hAnsi="新宋体"/>
          <w:b/>
          <w:color w:val="auto"/>
          <w:sz w:val="21"/>
          <w:szCs w:val="21"/>
        </w:rPr>
      </w:pPr>
      <w:r w:rsidRPr="0060041A">
        <w:rPr>
          <w:rFonts w:ascii="新宋体" w:eastAsia="新宋体" w:hAnsi="新宋体" w:hint="eastAsia"/>
          <w:b/>
          <w:color w:val="auto"/>
          <w:sz w:val="21"/>
          <w:szCs w:val="21"/>
        </w:rPr>
        <w:t>十六、信息披露</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b/>
          <w:color w:val="auto"/>
          <w:sz w:val="21"/>
          <w:szCs w:val="21"/>
        </w:rPr>
        <w:t>1.信息披露渠道</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hint="eastAsia"/>
          <w:b/>
          <w:color w:val="auto"/>
          <w:sz w:val="21"/>
          <w:szCs w:val="21"/>
        </w:rPr>
        <w:t>本理财计划信息将通过产品管理人官方网站（</w:t>
      </w:r>
      <w:r w:rsidRPr="0060041A">
        <w:rPr>
          <w:rFonts w:ascii="新宋体" w:eastAsia="新宋体" w:hAnsi="新宋体"/>
          <w:b/>
          <w:color w:val="auto"/>
          <w:sz w:val="21"/>
          <w:szCs w:val="21"/>
        </w:rPr>
        <w:t>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sidRPr="0060041A">
        <w:rPr>
          <w:rFonts w:ascii="新宋体" w:eastAsia="新宋体" w:hAnsi="新宋体" w:hint="eastAsia"/>
          <w:b/>
          <w:color w:val="auto"/>
          <w:sz w:val="21"/>
          <w:szCs w:val="21"/>
        </w:rPr>
        <w:t>投资者同意，产品管理人或销售机构通过本协议约定的方式及频率进行信息披露，视为完全履行信息披露义务，</w:t>
      </w:r>
      <w:r w:rsidRPr="0060041A">
        <w:rPr>
          <w:rFonts w:ascii="新宋体" w:eastAsia="新宋体" w:hAnsi="新宋体"/>
          <w:b/>
          <w:color w:val="auto"/>
          <w:sz w:val="21"/>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w:t>
      </w:r>
      <w:r w:rsidRPr="0060041A">
        <w:rPr>
          <w:rFonts w:ascii="新宋体" w:eastAsia="新宋体" w:hAnsi="新宋体" w:hint="eastAsia"/>
          <w:b/>
          <w:color w:val="auto"/>
          <w:sz w:val="21"/>
          <w:szCs w:val="21"/>
        </w:rPr>
        <w:t>）责任和风险，不由青银理财方承担。</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b/>
          <w:color w:val="auto"/>
          <w:sz w:val="21"/>
          <w:szCs w:val="21"/>
        </w:rPr>
        <w:t>2</w:t>
      </w:r>
      <w:r w:rsidRPr="0060041A">
        <w:rPr>
          <w:rFonts w:ascii="新宋体" w:eastAsia="新宋体" w:hAnsi="新宋体" w:hint="eastAsia"/>
          <w:b/>
          <w:color w:val="auto"/>
          <w:sz w:val="21"/>
          <w:szCs w:val="21"/>
        </w:rPr>
        <w:t>.理财产品运作信息披露</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（1）发行公告：本产品成立后5个工作日内，披露本产品成立公告，包括理财产品成立日期和募集规模等信息。</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（3）到期公告：本产品在终止后5个工作日内，披露本产品到期公告，包括理财产品的存续期限、终止日期、收费情况和收益分配情况等信息。</w:t>
      </w:r>
    </w:p>
    <w:p w:rsidR="005E39AE" w:rsidRPr="0060041A" w:rsidRDefault="005E39AE">
      <w:pPr>
        <w:snapToGrid w:val="0"/>
        <w:spacing w:line="360" w:lineRule="auto"/>
        <w:ind w:left="397"/>
        <w:jc w:val="left"/>
        <w:rPr>
          <w:rFonts w:ascii="新宋体" w:eastAsia="新宋体" w:hAnsi="新宋体"/>
          <w:b/>
          <w:color w:val="auto"/>
          <w:sz w:val="21"/>
          <w:szCs w:val="21"/>
        </w:rPr>
      </w:pPr>
      <w:r w:rsidRPr="0060041A">
        <w:rPr>
          <w:rFonts w:ascii="新宋体" w:eastAsia="新宋体" w:hAnsi="新宋体" w:hint="eastAsia"/>
          <w:b/>
          <w:color w:val="auto"/>
          <w:sz w:val="21"/>
          <w:szCs w:val="21"/>
        </w:rPr>
        <w:t>（4）净值公告：本产品每日公布一次产品净值，建仓期除外，遇节假日顺延。</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（5）临时公告：理财产品在运作管理过程中，发生可能对理财产品投资者权益产生影响的事项时，管理人将根据法律法规规定及时进行临时信息披露。</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w:t>
      </w:r>
      <w:r w:rsidRPr="0060041A">
        <w:rPr>
          <w:rFonts w:ascii="新宋体" w:eastAsia="新宋体" w:hAnsi="新宋体"/>
          <w:b/>
          <w:color w:val="auto"/>
          <w:sz w:val="21"/>
          <w:szCs w:val="21"/>
        </w:rPr>
        <w:t>6）重大事项公告。</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w:t>
      </w:r>
      <w:r w:rsidRPr="0060041A">
        <w:rPr>
          <w:rFonts w:ascii="新宋体" w:eastAsia="新宋体" w:hAnsi="新宋体"/>
          <w:b/>
          <w:color w:val="auto"/>
          <w:sz w:val="21"/>
          <w:szCs w:val="21"/>
        </w:rPr>
        <w:t>7）国务院银行业监督管理机构规定的其他信息。</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hint="eastAsia"/>
          <w:b/>
          <w:color w:val="auto"/>
          <w:sz w:val="21"/>
          <w:szCs w:val="21"/>
        </w:rPr>
        <w:t>（</w:t>
      </w:r>
      <w:r w:rsidRPr="0060041A">
        <w:rPr>
          <w:rFonts w:ascii="新宋体" w:eastAsia="新宋体" w:hAnsi="新宋体"/>
          <w:b/>
          <w:color w:val="auto"/>
          <w:sz w:val="21"/>
          <w:szCs w:val="21"/>
        </w:rPr>
        <w:t>8）产品管理人认为需要披露的其他信息。</w:t>
      </w:r>
    </w:p>
    <w:p w:rsidR="005E39AE" w:rsidRPr="0060041A" w:rsidRDefault="005E39AE">
      <w:pPr>
        <w:snapToGrid w:val="0"/>
        <w:spacing w:line="360" w:lineRule="auto"/>
        <w:ind w:firstLineChars="200" w:firstLine="422"/>
        <w:jc w:val="left"/>
        <w:rPr>
          <w:rFonts w:ascii="新宋体" w:eastAsia="新宋体" w:hAnsi="新宋体"/>
          <w:b/>
          <w:color w:val="auto"/>
          <w:sz w:val="21"/>
          <w:szCs w:val="21"/>
        </w:rPr>
      </w:pPr>
      <w:r w:rsidRPr="0060041A">
        <w:rPr>
          <w:rFonts w:ascii="新宋体" w:eastAsia="新宋体" w:hAnsi="新宋体"/>
          <w:b/>
          <w:color w:val="auto"/>
          <w:sz w:val="21"/>
          <w:szCs w:val="21"/>
        </w:rPr>
        <w:t>3</w:t>
      </w:r>
      <w:r w:rsidRPr="0060041A">
        <w:rPr>
          <w:rFonts w:ascii="新宋体" w:eastAsia="新宋体" w:hAnsi="新宋体" w:hint="eastAsia"/>
          <w:b/>
          <w:color w:val="auto"/>
          <w:sz w:val="21"/>
          <w:szCs w:val="21"/>
        </w:rPr>
        <w:t>.存续期内，</w:t>
      </w:r>
      <w:r w:rsidRPr="0060041A">
        <w:rPr>
          <w:rFonts w:ascii="新宋体" w:eastAsia="新宋体" w:hAnsi="新宋体" w:hint="eastAsia"/>
          <w:b/>
          <w:color w:val="auto"/>
          <w:sz w:val="21"/>
          <w:szCs w:val="24"/>
        </w:rPr>
        <w:t>如因国家法律法规发生变化，或是出于维持本理财计划正常运作需要，在不损害投资者利益的前提下，</w:t>
      </w:r>
      <w:r w:rsidRPr="0060041A">
        <w:rPr>
          <w:rFonts w:ascii="新宋体" w:eastAsia="新宋体" w:hAnsi="新宋体" w:hint="eastAsia"/>
          <w:b/>
          <w:color w:val="auto"/>
          <w:sz w:val="21"/>
          <w:szCs w:val="21"/>
        </w:rPr>
        <w:t>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若本产品投资者未赎回本产品，则视为本理财产品投资者对相关调整无异议并同意继续持有本理财产品。</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b/>
          <w:color w:val="auto"/>
          <w:sz w:val="21"/>
          <w:szCs w:val="21"/>
        </w:rPr>
        <w:t>4</w:t>
      </w:r>
      <w:r w:rsidRPr="0060041A">
        <w:rPr>
          <w:rFonts w:ascii="新宋体" w:eastAsia="新宋体" w:hAnsi="新宋体" w:hint="eastAsia"/>
          <w:b/>
          <w:color w:val="auto"/>
          <w:sz w:val="21"/>
          <w:szCs w:val="21"/>
        </w:rPr>
        <w:t>.青银理财认为对理财运作或者客户权益有重大影响而需要公布的重要信息，将以公告形式予以通知发布，同时可视情况辅以其它一种或多种方式发布信息，如短信、电话、网点公告等。如投资者不接受重要信息中所述的调整（如有），则应及时通过销售服务机构营业网点或网上销售平台赎回本产品，若本产品投资者未赎回本产品，则视为本理财产品投资者对相关调整无异议并同意继续持有本理财产品。</w:t>
      </w:r>
    </w:p>
    <w:p w:rsidR="005E39AE" w:rsidRPr="0060041A" w:rsidRDefault="005E39AE">
      <w:pPr>
        <w:spacing w:line="360" w:lineRule="auto"/>
        <w:ind w:left="397"/>
        <w:rPr>
          <w:rFonts w:ascii="新宋体" w:eastAsia="新宋体" w:hAnsi="新宋体"/>
          <w:b/>
          <w:color w:val="auto"/>
          <w:sz w:val="21"/>
          <w:szCs w:val="21"/>
        </w:rPr>
      </w:pPr>
      <w:r w:rsidRPr="0060041A">
        <w:rPr>
          <w:rFonts w:ascii="新宋体" w:eastAsia="新宋体" w:hAnsi="新宋体" w:hint="eastAsia"/>
          <w:b/>
          <w:color w:val="auto"/>
          <w:sz w:val="21"/>
          <w:szCs w:val="21"/>
        </w:rPr>
        <w:t>十七、重要提示</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hint="eastAsia"/>
          <w:b/>
          <w:color w:val="auto"/>
          <w:sz w:val="21"/>
          <w:szCs w:val="21"/>
        </w:rPr>
        <w:t>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rsidR="005E39AE" w:rsidRPr="0060041A" w:rsidRDefault="005E39AE">
      <w:pPr>
        <w:spacing w:line="360" w:lineRule="auto"/>
        <w:ind w:firstLineChars="200" w:firstLine="422"/>
        <w:rPr>
          <w:rFonts w:ascii="新宋体" w:eastAsia="新宋体" w:hAnsi="新宋体"/>
          <w:b/>
          <w:color w:val="auto"/>
          <w:sz w:val="21"/>
          <w:szCs w:val="21"/>
        </w:rPr>
      </w:pPr>
      <w:r w:rsidRPr="0060041A">
        <w:rPr>
          <w:rFonts w:ascii="新宋体" w:eastAsia="新宋体" w:hAnsi="新宋体" w:hint="eastAsia"/>
          <w:b/>
          <w:color w:val="auto"/>
          <w:sz w:val="21"/>
          <w:szCs w:val="21"/>
        </w:rPr>
        <w:t>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5E39AE" w:rsidRDefault="005E39AE">
      <w:pPr>
        <w:spacing w:line="360" w:lineRule="auto"/>
        <w:ind w:firstLineChars="200" w:firstLine="422"/>
        <w:rPr>
          <w:rFonts w:ascii="宋体" w:eastAsia="宋体" w:hAnsi="宋体"/>
          <w:b/>
          <w:color w:val="auto"/>
          <w:sz w:val="21"/>
          <w:szCs w:val="21"/>
        </w:rPr>
      </w:pPr>
      <w:r w:rsidRPr="0060041A">
        <w:rPr>
          <w:rFonts w:ascii="新宋体" w:eastAsia="新宋体" w:hAnsi="新宋体" w:hint="eastAsia"/>
          <w:b/>
          <w:color w:val="auto"/>
          <w:sz w:val="21"/>
          <w:szCs w:val="21"/>
        </w:rPr>
        <w:t>3.本理财计划说明书在法律许可的范围内由管理人负责解释。如投资者对本理财产品说明书内容有任何异议或意见，请向青银理财机构及各销售渠道进行咨询。</w:t>
      </w:r>
      <w:r w:rsidRPr="0060041A">
        <w:rPr>
          <w:rFonts w:ascii="宋体" w:eastAsia="宋体" w:hAnsi="宋体" w:hint="eastAsia"/>
          <w:b/>
          <w:color w:val="auto"/>
          <w:sz w:val="21"/>
          <w:szCs w:val="21"/>
        </w:rPr>
        <w:t>青银理财客服热线</w:t>
      </w:r>
      <w:r w:rsidRPr="0060041A">
        <w:rPr>
          <w:rFonts w:ascii="宋体" w:eastAsia="宋体" w:hAnsi="宋体"/>
          <w:b/>
          <w:color w:val="auto"/>
          <w:sz w:val="21"/>
          <w:szCs w:val="21"/>
        </w:rPr>
        <w:t>4000879666。</w:t>
      </w:r>
    </w:p>
    <w:p w:rsidR="005E39AE" w:rsidRDefault="005E39AE" w:rsidP="00E1339B">
      <w:pPr>
        <w:adjustRightInd w:val="0"/>
        <w:snapToGrid w:val="0"/>
        <w:spacing w:after="110"/>
        <w:jc w:val="center"/>
        <w:rPr>
          <w:rFonts w:ascii="新宋体" w:eastAsia="新宋体" w:hAnsi="新宋体"/>
          <w:color w:val="auto"/>
          <w:sz w:val="21"/>
          <w:szCs w:val="21"/>
        </w:rPr>
      </w:pPr>
    </w:p>
    <w:sectPr w:rsidR="005E39AE">
      <w:pgSz w:w="11906" w:h="16838"/>
      <w:pgMar w:top="1440" w:right="1701" w:bottom="1440"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9DC" w:rsidRDefault="005639DC"/>
  </w:endnote>
  <w:endnote w:type="continuationSeparator" w:id="0">
    <w:p w:rsidR="005639DC" w:rsidRDefault="00563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9DC" w:rsidRDefault="005639DC"/>
  </w:footnote>
  <w:footnote w:type="continuationSeparator" w:id="0">
    <w:p w:rsidR="005639DC" w:rsidRDefault="005639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5154"/>
    <w:multiLevelType w:val="multilevel"/>
    <w:tmpl w:val="06E65154"/>
    <w:lvl w:ilvl="0">
      <w:start w:val="4"/>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27B50C0C"/>
    <w:multiLevelType w:val="multilevel"/>
    <w:tmpl w:val="27B50C0C"/>
    <w:lvl w:ilvl="0">
      <w:start w:val="1"/>
      <w:numFmt w:val="chineseCountingThousand"/>
      <w:lvlText w:val="%1、"/>
      <w:lvlJc w:val="left"/>
      <w:pPr>
        <w:tabs>
          <w:tab w:val="num" w:pos="567"/>
        </w:tabs>
        <w:ind w:left="0" w:firstLine="397"/>
      </w:pPr>
      <w:rPr>
        <w:rFonts w:ascii="Times New Roman" w:eastAsia="宋体" w:hAnsi="Times New Roman" w:hint="eastAsia"/>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iMmFlMWE5NGMyZGM2MTBhNmRmZDk1MzQ0MWRkZTAifQ=="/>
  </w:docVars>
  <w:rsids>
    <w:rsidRoot w:val="00402E90"/>
    <w:rsid w:val="0000029C"/>
    <w:rsid w:val="000002BC"/>
    <w:rsid w:val="0000065D"/>
    <w:rsid w:val="00000C83"/>
    <w:rsid w:val="000018D4"/>
    <w:rsid w:val="000022F1"/>
    <w:rsid w:val="00003D82"/>
    <w:rsid w:val="0000472F"/>
    <w:rsid w:val="00004F1D"/>
    <w:rsid w:val="000051C3"/>
    <w:rsid w:val="00006FA0"/>
    <w:rsid w:val="00011436"/>
    <w:rsid w:val="0001188A"/>
    <w:rsid w:val="000140BE"/>
    <w:rsid w:val="000214D0"/>
    <w:rsid w:val="00021E66"/>
    <w:rsid w:val="00023F08"/>
    <w:rsid w:val="00024CAA"/>
    <w:rsid w:val="000265FA"/>
    <w:rsid w:val="00026E5B"/>
    <w:rsid w:val="000400E1"/>
    <w:rsid w:val="0004162B"/>
    <w:rsid w:val="00041993"/>
    <w:rsid w:val="00041DC2"/>
    <w:rsid w:val="00042569"/>
    <w:rsid w:val="00045A23"/>
    <w:rsid w:val="000462C4"/>
    <w:rsid w:val="00046DDF"/>
    <w:rsid w:val="000474CC"/>
    <w:rsid w:val="00054A34"/>
    <w:rsid w:val="00055E19"/>
    <w:rsid w:val="00055FD3"/>
    <w:rsid w:val="00060C6D"/>
    <w:rsid w:val="00071F5A"/>
    <w:rsid w:val="00073EE9"/>
    <w:rsid w:val="0007483B"/>
    <w:rsid w:val="00074ED8"/>
    <w:rsid w:val="00075137"/>
    <w:rsid w:val="0007581A"/>
    <w:rsid w:val="00077A36"/>
    <w:rsid w:val="00080B56"/>
    <w:rsid w:val="00082611"/>
    <w:rsid w:val="000831BC"/>
    <w:rsid w:val="00084E91"/>
    <w:rsid w:val="00087EFF"/>
    <w:rsid w:val="00090701"/>
    <w:rsid w:val="00090A5C"/>
    <w:rsid w:val="00090E6D"/>
    <w:rsid w:val="00092D0C"/>
    <w:rsid w:val="00093ED1"/>
    <w:rsid w:val="00095070"/>
    <w:rsid w:val="0009520F"/>
    <w:rsid w:val="000A1112"/>
    <w:rsid w:val="000A7EB0"/>
    <w:rsid w:val="000B390B"/>
    <w:rsid w:val="000B46E6"/>
    <w:rsid w:val="000B5419"/>
    <w:rsid w:val="000C0A6A"/>
    <w:rsid w:val="000C0F96"/>
    <w:rsid w:val="000C18EC"/>
    <w:rsid w:val="000C1A22"/>
    <w:rsid w:val="000C2EF8"/>
    <w:rsid w:val="000C3A10"/>
    <w:rsid w:val="000C3F0B"/>
    <w:rsid w:val="000C6F1E"/>
    <w:rsid w:val="000C7100"/>
    <w:rsid w:val="000C7472"/>
    <w:rsid w:val="000D03C2"/>
    <w:rsid w:val="000D28DC"/>
    <w:rsid w:val="000E0250"/>
    <w:rsid w:val="000E1334"/>
    <w:rsid w:val="000E2F52"/>
    <w:rsid w:val="000E45EB"/>
    <w:rsid w:val="000E58AB"/>
    <w:rsid w:val="000E79B2"/>
    <w:rsid w:val="000F4ED9"/>
    <w:rsid w:val="000F6F01"/>
    <w:rsid w:val="00100748"/>
    <w:rsid w:val="0010286C"/>
    <w:rsid w:val="00104E67"/>
    <w:rsid w:val="00104F06"/>
    <w:rsid w:val="00105C02"/>
    <w:rsid w:val="00107D42"/>
    <w:rsid w:val="00115F8D"/>
    <w:rsid w:val="00120723"/>
    <w:rsid w:val="00122587"/>
    <w:rsid w:val="00123C66"/>
    <w:rsid w:val="001246D1"/>
    <w:rsid w:val="00124F94"/>
    <w:rsid w:val="0012554E"/>
    <w:rsid w:val="001263A4"/>
    <w:rsid w:val="00126F5A"/>
    <w:rsid w:val="00131329"/>
    <w:rsid w:val="00131743"/>
    <w:rsid w:val="00131829"/>
    <w:rsid w:val="00140748"/>
    <w:rsid w:val="00141401"/>
    <w:rsid w:val="001425F5"/>
    <w:rsid w:val="00142A96"/>
    <w:rsid w:val="00143364"/>
    <w:rsid w:val="00144F30"/>
    <w:rsid w:val="00145C2C"/>
    <w:rsid w:val="00146742"/>
    <w:rsid w:val="00146E1A"/>
    <w:rsid w:val="00147720"/>
    <w:rsid w:val="00147E6B"/>
    <w:rsid w:val="0015268F"/>
    <w:rsid w:val="00153CEA"/>
    <w:rsid w:val="0015705B"/>
    <w:rsid w:val="001570D3"/>
    <w:rsid w:val="0015779D"/>
    <w:rsid w:val="001640B8"/>
    <w:rsid w:val="00166354"/>
    <w:rsid w:val="001671D9"/>
    <w:rsid w:val="00172D9E"/>
    <w:rsid w:val="0017610D"/>
    <w:rsid w:val="00182765"/>
    <w:rsid w:val="00183C5A"/>
    <w:rsid w:val="001869FE"/>
    <w:rsid w:val="00190503"/>
    <w:rsid w:val="0019076C"/>
    <w:rsid w:val="00191295"/>
    <w:rsid w:val="001919AE"/>
    <w:rsid w:val="00193B0C"/>
    <w:rsid w:val="001A110F"/>
    <w:rsid w:val="001A1D05"/>
    <w:rsid w:val="001A24B9"/>
    <w:rsid w:val="001A3836"/>
    <w:rsid w:val="001A3B25"/>
    <w:rsid w:val="001A4C4C"/>
    <w:rsid w:val="001A65DA"/>
    <w:rsid w:val="001B0665"/>
    <w:rsid w:val="001B169B"/>
    <w:rsid w:val="001B3FEE"/>
    <w:rsid w:val="001B60B6"/>
    <w:rsid w:val="001B79C6"/>
    <w:rsid w:val="001C2CCB"/>
    <w:rsid w:val="001C620F"/>
    <w:rsid w:val="001C6682"/>
    <w:rsid w:val="001C66DE"/>
    <w:rsid w:val="001C7717"/>
    <w:rsid w:val="001D0284"/>
    <w:rsid w:val="001D2A94"/>
    <w:rsid w:val="001D42D5"/>
    <w:rsid w:val="001D4AE8"/>
    <w:rsid w:val="001D52CA"/>
    <w:rsid w:val="001D7107"/>
    <w:rsid w:val="001E07B3"/>
    <w:rsid w:val="001E1ED9"/>
    <w:rsid w:val="001E3052"/>
    <w:rsid w:val="001E4DAF"/>
    <w:rsid w:val="001E5409"/>
    <w:rsid w:val="001E6C35"/>
    <w:rsid w:val="001E750D"/>
    <w:rsid w:val="001E7690"/>
    <w:rsid w:val="001F11E5"/>
    <w:rsid w:val="001F34DB"/>
    <w:rsid w:val="001F4BA2"/>
    <w:rsid w:val="001F5104"/>
    <w:rsid w:val="002034F9"/>
    <w:rsid w:val="002035E3"/>
    <w:rsid w:val="002100A3"/>
    <w:rsid w:val="0021053A"/>
    <w:rsid w:val="002157C8"/>
    <w:rsid w:val="00217AF5"/>
    <w:rsid w:val="002225B8"/>
    <w:rsid w:val="002230E6"/>
    <w:rsid w:val="0022310B"/>
    <w:rsid w:val="002271BE"/>
    <w:rsid w:val="00234DEE"/>
    <w:rsid w:val="00240D5D"/>
    <w:rsid w:val="00245EAB"/>
    <w:rsid w:val="00246AAE"/>
    <w:rsid w:val="00250386"/>
    <w:rsid w:val="00250CC9"/>
    <w:rsid w:val="002542F5"/>
    <w:rsid w:val="0025592A"/>
    <w:rsid w:val="002560C4"/>
    <w:rsid w:val="002564E9"/>
    <w:rsid w:val="00256950"/>
    <w:rsid w:val="00262136"/>
    <w:rsid w:val="00262FAA"/>
    <w:rsid w:val="0026327B"/>
    <w:rsid w:val="0026631B"/>
    <w:rsid w:val="002664AF"/>
    <w:rsid w:val="00266809"/>
    <w:rsid w:val="00267D95"/>
    <w:rsid w:val="00273F80"/>
    <w:rsid w:val="002747EE"/>
    <w:rsid w:val="00274885"/>
    <w:rsid w:val="0027634B"/>
    <w:rsid w:val="002765CF"/>
    <w:rsid w:val="00282303"/>
    <w:rsid w:val="002839FC"/>
    <w:rsid w:val="00283FFD"/>
    <w:rsid w:val="0028428D"/>
    <w:rsid w:val="002861B8"/>
    <w:rsid w:val="002871DA"/>
    <w:rsid w:val="00287C3C"/>
    <w:rsid w:val="00290426"/>
    <w:rsid w:val="00292286"/>
    <w:rsid w:val="00294B19"/>
    <w:rsid w:val="00295AE5"/>
    <w:rsid w:val="002963CB"/>
    <w:rsid w:val="002A187E"/>
    <w:rsid w:val="002A6AA8"/>
    <w:rsid w:val="002B008F"/>
    <w:rsid w:val="002B0FF3"/>
    <w:rsid w:val="002B1F73"/>
    <w:rsid w:val="002B2C7E"/>
    <w:rsid w:val="002B48AC"/>
    <w:rsid w:val="002B4DE8"/>
    <w:rsid w:val="002B70A2"/>
    <w:rsid w:val="002B73A4"/>
    <w:rsid w:val="002B7BA0"/>
    <w:rsid w:val="002C2A77"/>
    <w:rsid w:val="002C5B01"/>
    <w:rsid w:val="002C60DC"/>
    <w:rsid w:val="002C6108"/>
    <w:rsid w:val="002D09D3"/>
    <w:rsid w:val="002D184E"/>
    <w:rsid w:val="002D231D"/>
    <w:rsid w:val="002D6738"/>
    <w:rsid w:val="002D6959"/>
    <w:rsid w:val="002D7B6B"/>
    <w:rsid w:val="002E1196"/>
    <w:rsid w:val="002E3671"/>
    <w:rsid w:val="002E44BD"/>
    <w:rsid w:val="002E4549"/>
    <w:rsid w:val="002E54C3"/>
    <w:rsid w:val="002E640C"/>
    <w:rsid w:val="002E6B38"/>
    <w:rsid w:val="002E6E3D"/>
    <w:rsid w:val="002E75C5"/>
    <w:rsid w:val="002F037F"/>
    <w:rsid w:val="002F0B4E"/>
    <w:rsid w:val="002F161D"/>
    <w:rsid w:val="002F1C8E"/>
    <w:rsid w:val="002F1DCC"/>
    <w:rsid w:val="002F3D84"/>
    <w:rsid w:val="002F4621"/>
    <w:rsid w:val="002F4EA6"/>
    <w:rsid w:val="002F7EB8"/>
    <w:rsid w:val="00301134"/>
    <w:rsid w:val="0030213A"/>
    <w:rsid w:val="003070FD"/>
    <w:rsid w:val="00307C1C"/>
    <w:rsid w:val="00310D8F"/>
    <w:rsid w:val="003131FD"/>
    <w:rsid w:val="003167C9"/>
    <w:rsid w:val="00316D83"/>
    <w:rsid w:val="0032374D"/>
    <w:rsid w:val="003302E1"/>
    <w:rsid w:val="003323E5"/>
    <w:rsid w:val="00332F35"/>
    <w:rsid w:val="003332A9"/>
    <w:rsid w:val="00333C13"/>
    <w:rsid w:val="00334E27"/>
    <w:rsid w:val="00335059"/>
    <w:rsid w:val="0033770E"/>
    <w:rsid w:val="00341D36"/>
    <w:rsid w:val="003425FE"/>
    <w:rsid w:val="00342B9A"/>
    <w:rsid w:val="00343249"/>
    <w:rsid w:val="00344770"/>
    <w:rsid w:val="00344E85"/>
    <w:rsid w:val="00345536"/>
    <w:rsid w:val="00350EB4"/>
    <w:rsid w:val="00351C87"/>
    <w:rsid w:val="003521BB"/>
    <w:rsid w:val="00354036"/>
    <w:rsid w:val="0035647A"/>
    <w:rsid w:val="00356B35"/>
    <w:rsid w:val="00363D0A"/>
    <w:rsid w:val="003702A8"/>
    <w:rsid w:val="003724B5"/>
    <w:rsid w:val="00372652"/>
    <w:rsid w:val="00375923"/>
    <w:rsid w:val="00375EBE"/>
    <w:rsid w:val="00380426"/>
    <w:rsid w:val="003824B5"/>
    <w:rsid w:val="00382E82"/>
    <w:rsid w:val="003847BA"/>
    <w:rsid w:val="00385D7E"/>
    <w:rsid w:val="0038734E"/>
    <w:rsid w:val="00391988"/>
    <w:rsid w:val="0039520E"/>
    <w:rsid w:val="003A4E25"/>
    <w:rsid w:val="003B20C4"/>
    <w:rsid w:val="003B2837"/>
    <w:rsid w:val="003B48A6"/>
    <w:rsid w:val="003B4F19"/>
    <w:rsid w:val="003B511A"/>
    <w:rsid w:val="003B5BB6"/>
    <w:rsid w:val="003B6116"/>
    <w:rsid w:val="003B7A82"/>
    <w:rsid w:val="003C302E"/>
    <w:rsid w:val="003C337D"/>
    <w:rsid w:val="003C5B27"/>
    <w:rsid w:val="003C5F5A"/>
    <w:rsid w:val="003C68C1"/>
    <w:rsid w:val="003D1B76"/>
    <w:rsid w:val="003D2CE0"/>
    <w:rsid w:val="003D342E"/>
    <w:rsid w:val="003D46AD"/>
    <w:rsid w:val="003D56AB"/>
    <w:rsid w:val="003D6622"/>
    <w:rsid w:val="003D78ED"/>
    <w:rsid w:val="003E0078"/>
    <w:rsid w:val="003E2C03"/>
    <w:rsid w:val="003E341C"/>
    <w:rsid w:val="003E4A3E"/>
    <w:rsid w:val="003E511B"/>
    <w:rsid w:val="003E5E8C"/>
    <w:rsid w:val="003E6E77"/>
    <w:rsid w:val="003E7517"/>
    <w:rsid w:val="003E79C6"/>
    <w:rsid w:val="003E7C27"/>
    <w:rsid w:val="003F0D04"/>
    <w:rsid w:val="003F1027"/>
    <w:rsid w:val="003F3A50"/>
    <w:rsid w:val="003F5D85"/>
    <w:rsid w:val="003F6483"/>
    <w:rsid w:val="00400F8F"/>
    <w:rsid w:val="004029D4"/>
    <w:rsid w:val="00402E90"/>
    <w:rsid w:val="00402EEE"/>
    <w:rsid w:val="00406055"/>
    <w:rsid w:val="004102BC"/>
    <w:rsid w:val="00412DA1"/>
    <w:rsid w:val="0041359E"/>
    <w:rsid w:val="00413877"/>
    <w:rsid w:val="004146CD"/>
    <w:rsid w:val="00414B0C"/>
    <w:rsid w:val="00414C27"/>
    <w:rsid w:val="00415916"/>
    <w:rsid w:val="0041762F"/>
    <w:rsid w:val="0042336C"/>
    <w:rsid w:val="00426667"/>
    <w:rsid w:val="004271CC"/>
    <w:rsid w:val="0042788D"/>
    <w:rsid w:val="00430CD3"/>
    <w:rsid w:val="00433A57"/>
    <w:rsid w:val="0043405F"/>
    <w:rsid w:val="0043689B"/>
    <w:rsid w:val="00440526"/>
    <w:rsid w:val="00440EF4"/>
    <w:rsid w:val="00441D0D"/>
    <w:rsid w:val="00444319"/>
    <w:rsid w:val="004456FC"/>
    <w:rsid w:val="0045223C"/>
    <w:rsid w:val="00452589"/>
    <w:rsid w:val="004545C0"/>
    <w:rsid w:val="004556C6"/>
    <w:rsid w:val="00455F08"/>
    <w:rsid w:val="0045603B"/>
    <w:rsid w:val="004603BA"/>
    <w:rsid w:val="00461644"/>
    <w:rsid w:val="00461F0A"/>
    <w:rsid w:val="00464314"/>
    <w:rsid w:val="004659C4"/>
    <w:rsid w:val="0046654D"/>
    <w:rsid w:val="00470D61"/>
    <w:rsid w:val="004722D7"/>
    <w:rsid w:val="00480825"/>
    <w:rsid w:val="0048209C"/>
    <w:rsid w:val="00482F52"/>
    <w:rsid w:val="00484C3C"/>
    <w:rsid w:val="004858B6"/>
    <w:rsid w:val="00485B53"/>
    <w:rsid w:val="00486503"/>
    <w:rsid w:val="00492CBA"/>
    <w:rsid w:val="004939C4"/>
    <w:rsid w:val="004972E3"/>
    <w:rsid w:val="004A0CC9"/>
    <w:rsid w:val="004A26D1"/>
    <w:rsid w:val="004A2AD9"/>
    <w:rsid w:val="004A2E97"/>
    <w:rsid w:val="004A405E"/>
    <w:rsid w:val="004A5FA7"/>
    <w:rsid w:val="004A761C"/>
    <w:rsid w:val="004B79DE"/>
    <w:rsid w:val="004C0474"/>
    <w:rsid w:val="004C1B0E"/>
    <w:rsid w:val="004C3D0E"/>
    <w:rsid w:val="004C4D4D"/>
    <w:rsid w:val="004C56EA"/>
    <w:rsid w:val="004D08D8"/>
    <w:rsid w:val="004D0B60"/>
    <w:rsid w:val="004D6480"/>
    <w:rsid w:val="004D6817"/>
    <w:rsid w:val="004E0E80"/>
    <w:rsid w:val="004E2C67"/>
    <w:rsid w:val="004E3C10"/>
    <w:rsid w:val="004E6178"/>
    <w:rsid w:val="004F04A6"/>
    <w:rsid w:val="004F2A93"/>
    <w:rsid w:val="004F3DE6"/>
    <w:rsid w:val="004F5197"/>
    <w:rsid w:val="004F52C6"/>
    <w:rsid w:val="004F57D5"/>
    <w:rsid w:val="004F67F8"/>
    <w:rsid w:val="005033D0"/>
    <w:rsid w:val="0050364C"/>
    <w:rsid w:val="005052BB"/>
    <w:rsid w:val="00507362"/>
    <w:rsid w:val="00511133"/>
    <w:rsid w:val="00512CED"/>
    <w:rsid w:val="00515EBA"/>
    <w:rsid w:val="00516C84"/>
    <w:rsid w:val="00516E54"/>
    <w:rsid w:val="00517156"/>
    <w:rsid w:val="00524FE3"/>
    <w:rsid w:val="0052758C"/>
    <w:rsid w:val="00530869"/>
    <w:rsid w:val="005348F3"/>
    <w:rsid w:val="00536EFB"/>
    <w:rsid w:val="0054093A"/>
    <w:rsid w:val="00540D5C"/>
    <w:rsid w:val="005411A2"/>
    <w:rsid w:val="00541249"/>
    <w:rsid w:val="005443F5"/>
    <w:rsid w:val="00545175"/>
    <w:rsid w:val="00555C0B"/>
    <w:rsid w:val="00557353"/>
    <w:rsid w:val="00560887"/>
    <w:rsid w:val="005613B7"/>
    <w:rsid w:val="00562D23"/>
    <w:rsid w:val="00562F8C"/>
    <w:rsid w:val="005636CF"/>
    <w:rsid w:val="005639DC"/>
    <w:rsid w:val="005652C1"/>
    <w:rsid w:val="0057016F"/>
    <w:rsid w:val="00571109"/>
    <w:rsid w:val="00572586"/>
    <w:rsid w:val="00572703"/>
    <w:rsid w:val="00572CCC"/>
    <w:rsid w:val="00572D57"/>
    <w:rsid w:val="00573131"/>
    <w:rsid w:val="0057338B"/>
    <w:rsid w:val="00574516"/>
    <w:rsid w:val="00574F30"/>
    <w:rsid w:val="005814FB"/>
    <w:rsid w:val="00581F83"/>
    <w:rsid w:val="00583E59"/>
    <w:rsid w:val="005852B1"/>
    <w:rsid w:val="00594676"/>
    <w:rsid w:val="005A0A72"/>
    <w:rsid w:val="005A2717"/>
    <w:rsid w:val="005A27C1"/>
    <w:rsid w:val="005A3B94"/>
    <w:rsid w:val="005A5F2D"/>
    <w:rsid w:val="005A7F6C"/>
    <w:rsid w:val="005B0472"/>
    <w:rsid w:val="005B110F"/>
    <w:rsid w:val="005B30A6"/>
    <w:rsid w:val="005B74B5"/>
    <w:rsid w:val="005C2204"/>
    <w:rsid w:val="005C366D"/>
    <w:rsid w:val="005C5614"/>
    <w:rsid w:val="005D0097"/>
    <w:rsid w:val="005D204B"/>
    <w:rsid w:val="005D31C1"/>
    <w:rsid w:val="005D42A0"/>
    <w:rsid w:val="005D44FB"/>
    <w:rsid w:val="005E39AE"/>
    <w:rsid w:val="005E3E71"/>
    <w:rsid w:val="005E45E4"/>
    <w:rsid w:val="005E5D7B"/>
    <w:rsid w:val="005E6AFE"/>
    <w:rsid w:val="005F0C15"/>
    <w:rsid w:val="005F600F"/>
    <w:rsid w:val="0060041A"/>
    <w:rsid w:val="00600527"/>
    <w:rsid w:val="00600A67"/>
    <w:rsid w:val="00602A0F"/>
    <w:rsid w:val="00605FF6"/>
    <w:rsid w:val="00610733"/>
    <w:rsid w:val="0061268B"/>
    <w:rsid w:val="00615470"/>
    <w:rsid w:val="00615627"/>
    <w:rsid w:val="006167F5"/>
    <w:rsid w:val="00616C50"/>
    <w:rsid w:val="00616CBB"/>
    <w:rsid w:val="006222BF"/>
    <w:rsid w:val="00624C1D"/>
    <w:rsid w:val="0063073B"/>
    <w:rsid w:val="006334DF"/>
    <w:rsid w:val="00633EAD"/>
    <w:rsid w:val="00637F91"/>
    <w:rsid w:val="00640216"/>
    <w:rsid w:val="00641095"/>
    <w:rsid w:val="006417AE"/>
    <w:rsid w:val="00643B20"/>
    <w:rsid w:val="00643B58"/>
    <w:rsid w:val="0064446E"/>
    <w:rsid w:val="00645355"/>
    <w:rsid w:val="00645A79"/>
    <w:rsid w:val="006533E5"/>
    <w:rsid w:val="00654ABE"/>
    <w:rsid w:val="0065683D"/>
    <w:rsid w:val="00656DFA"/>
    <w:rsid w:val="0066048F"/>
    <w:rsid w:val="00660D91"/>
    <w:rsid w:val="0066549F"/>
    <w:rsid w:val="00665724"/>
    <w:rsid w:val="00665EE3"/>
    <w:rsid w:val="00666564"/>
    <w:rsid w:val="00666CCB"/>
    <w:rsid w:val="0067000F"/>
    <w:rsid w:val="00670EA7"/>
    <w:rsid w:val="00673EA7"/>
    <w:rsid w:val="006754D4"/>
    <w:rsid w:val="00675A29"/>
    <w:rsid w:val="00680AFE"/>
    <w:rsid w:val="006820CD"/>
    <w:rsid w:val="00682C84"/>
    <w:rsid w:val="00684EA5"/>
    <w:rsid w:val="00685F20"/>
    <w:rsid w:val="0069019D"/>
    <w:rsid w:val="00690485"/>
    <w:rsid w:val="00692704"/>
    <w:rsid w:val="0069301D"/>
    <w:rsid w:val="006938C8"/>
    <w:rsid w:val="00694495"/>
    <w:rsid w:val="00696D30"/>
    <w:rsid w:val="00697736"/>
    <w:rsid w:val="006A3E92"/>
    <w:rsid w:val="006A3F7A"/>
    <w:rsid w:val="006A5D12"/>
    <w:rsid w:val="006B195A"/>
    <w:rsid w:val="006B5B1A"/>
    <w:rsid w:val="006C01E9"/>
    <w:rsid w:val="006C0560"/>
    <w:rsid w:val="006C50A3"/>
    <w:rsid w:val="006C6306"/>
    <w:rsid w:val="006D1AA1"/>
    <w:rsid w:val="006D3738"/>
    <w:rsid w:val="006D6261"/>
    <w:rsid w:val="006E0DEC"/>
    <w:rsid w:val="006E22BF"/>
    <w:rsid w:val="006E3B8B"/>
    <w:rsid w:val="006E3CB4"/>
    <w:rsid w:val="006F0042"/>
    <w:rsid w:val="006F0122"/>
    <w:rsid w:val="006F565A"/>
    <w:rsid w:val="006F612A"/>
    <w:rsid w:val="006F6449"/>
    <w:rsid w:val="006F6921"/>
    <w:rsid w:val="007001BD"/>
    <w:rsid w:val="00700B05"/>
    <w:rsid w:val="00700F68"/>
    <w:rsid w:val="00703CD1"/>
    <w:rsid w:val="00704074"/>
    <w:rsid w:val="007040EF"/>
    <w:rsid w:val="0070440C"/>
    <w:rsid w:val="0070709B"/>
    <w:rsid w:val="00710C4E"/>
    <w:rsid w:val="00712E52"/>
    <w:rsid w:val="00716E02"/>
    <w:rsid w:val="0071726E"/>
    <w:rsid w:val="00717922"/>
    <w:rsid w:val="0072181A"/>
    <w:rsid w:val="0072295F"/>
    <w:rsid w:val="00727B8E"/>
    <w:rsid w:val="00727BCB"/>
    <w:rsid w:val="00727DDA"/>
    <w:rsid w:val="00727E3D"/>
    <w:rsid w:val="00732214"/>
    <w:rsid w:val="007322C1"/>
    <w:rsid w:val="00733B2B"/>
    <w:rsid w:val="0073481C"/>
    <w:rsid w:val="00737190"/>
    <w:rsid w:val="007404E6"/>
    <w:rsid w:val="00744816"/>
    <w:rsid w:val="00744A73"/>
    <w:rsid w:val="00751041"/>
    <w:rsid w:val="00754AA1"/>
    <w:rsid w:val="00755153"/>
    <w:rsid w:val="0075600A"/>
    <w:rsid w:val="00760903"/>
    <w:rsid w:val="00761DD1"/>
    <w:rsid w:val="00762510"/>
    <w:rsid w:val="00762E32"/>
    <w:rsid w:val="00770C06"/>
    <w:rsid w:val="0077152B"/>
    <w:rsid w:val="00771566"/>
    <w:rsid w:val="00771F07"/>
    <w:rsid w:val="007743E1"/>
    <w:rsid w:val="00774652"/>
    <w:rsid w:val="00774684"/>
    <w:rsid w:val="007747C7"/>
    <w:rsid w:val="007758B2"/>
    <w:rsid w:val="0078038D"/>
    <w:rsid w:val="00782EAB"/>
    <w:rsid w:val="007837F5"/>
    <w:rsid w:val="00783A1F"/>
    <w:rsid w:val="00783C46"/>
    <w:rsid w:val="0078477F"/>
    <w:rsid w:val="00784D87"/>
    <w:rsid w:val="00786027"/>
    <w:rsid w:val="00787E1E"/>
    <w:rsid w:val="00790B51"/>
    <w:rsid w:val="00790D11"/>
    <w:rsid w:val="0079190A"/>
    <w:rsid w:val="0079489C"/>
    <w:rsid w:val="00796891"/>
    <w:rsid w:val="007976DB"/>
    <w:rsid w:val="00797D5F"/>
    <w:rsid w:val="00797ECD"/>
    <w:rsid w:val="007A1297"/>
    <w:rsid w:val="007A1DA4"/>
    <w:rsid w:val="007A7DEC"/>
    <w:rsid w:val="007B2538"/>
    <w:rsid w:val="007B5554"/>
    <w:rsid w:val="007B7F8A"/>
    <w:rsid w:val="007C1518"/>
    <w:rsid w:val="007C1DAE"/>
    <w:rsid w:val="007C2BA0"/>
    <w:rsid w:val="007C3A78"/>
    <w:rsid w:val="007D1BB6"/>
    <w:rsid w:val="007D4B85"/>
    <w:rsid w:val="007D5939"/>
    <w:rsid w:val="007D5BDA"/>
    <w:rsid w:val="007D7FC3"/>
    <w:rsid w:val="007E5575"/>
    <w:rsid w:val="007E7055"/>
    <w:rsid w:val="007F091E"/>
    <w:rsid w:val="007F1109"/>
    <w:rsid w:val="007F3D26"/>
    <w:rsid w:val="007F4BA6"/>
    <w:rsid w:val="007F51AE"/>
    <w:rsid w:val="007F7A84"/>
    <w:rsid w:val="007F7D02"/>
    <w:rsid w:val="0080261B"/>
    <w:rsid w:val="0081020A"/>
    <w:rsid w:val="00810A55"/>
    <w:rsid w:val="008111F1"/>
    <w:rsid w:val="0081413C"/>
    <w:rsid w:val="0081689B"/>
    <w:rsid w:val="00817006"/>
    <w:rsid w:val="00817210"/>
    <w:rsid w:val="00817242"/>
    <w:rsid w:val="0082242E"/>
    <w:rsid w:val="0082247C"/>
    <w:rsid w:val="008225C2"/>
    <w:rsid w:val="0082315A"/>
    <w:rsid w:val="00827ED7"/>
    <w:rsid w:val="008325C2"/>
    <w:rsid w:val="00835C0A"/>
    <w:rsid w:val="0083655B"/>
    <w:rsid w:val="0084015D"/>
    <w:rsid w:val="00840609"/>
    <w:rsid w:val="00841FAA"/>
    <w:rsid w:val="008425BC"/>
    <w:rsid w:val="00842948"/>
    <w:rsid w:val="00843EF7"/>
    <w:rsid w:val="00846C5F"/>
    <w:rsid w:val="008507C4"/>
    <w:rsid w:val="0085544A"/>
    <w:rsid w:val="008564D1"/>
    <w:rsid w:val="008564F2"/>
    <w:rsid w:val="00856C18"/>
    <w:rsid w:val="0086082F"/>
    <w:rsid w:val="008624B9"/>
    <w:rsid w:val="0086280A"/>
    <w:rsid w:val="00862C73"/>
    <w:rsid w:val="00864A97"/>
    <w:rsid w:val="0087121E"/>
    <w:rsid w:val="00871C12"/>
    <w:rsid w:val="00872BA8"/>
    <w:rsid w:val="00873022"/>
    <w:rsid w:val="00873252"/>
    <w:rsid w:val="00874A6C"/>
    <w:rsid w:val="008777E3"/>
    <w:rsid w:val="0088679B"/>
    <w:rsid w:val="0088734A"/>
    <w:rsid w:val="00892A07"/>
    <w:rsid w:val="00892ABC"/>
    <w:rsid w:val="008939F2"/>
    <w:rsid w:val="008A0351"/>
    <w:rsid w:val="008A0715"/>
    <w:rsid w:val="008A1805"/>
    <w:rsid w:val="008A1973"/>
    <w:rsid w:val="008A4034"/>
    <w:rsid w:val="008A5BC6"/>
    <w:rsid w:val="008A5E4A"/>
    <w:rsid w:val="008A67D1"/>
    <w:rsid w:val="008A692F"/>
    <w:rsid w:val="008A78F1"/>
    <w:rsid w:val="008B060A"/>
    <w:rsid w:val="008B1930"/>
    <w:rsid w:val="008B3852"/>
    <w:rsid w:val="008B416D"/>
    <w:rsid w:val="008B46DF"/>
    <w:rsid w:val="008B4B77"/>
    <w:rsid w:val="008B750C"/>
    <w:rsid w:val="008C08AF"/>
    <w:rsid w:val="008C20FB"/>
    <w:rsid w:val="008C2D83"/>
    <w:rsid w:val="008C2F7D"/>
    <w:rsid w:val="008C60AC"/>
    <w:rsid w:val="008C69BC"/>
    <w:rsid w:val="008C7185"/>
    <w:rsid w:val="008C762A"/>
    <w:rsid w:val="008C7E6D"/>
    <w:rsid w:val="008D48AA"/>
    <w:rsid w:val="008D56A0"/>
    <w:rsid w:val="008D598C"/>
    <w:rsid w:val="008D7FDA"/>
    <w:rsid w:val="008E6F7E"/>
    <w:rsid w:val="008F2E20"/>
    <w:rsid w:val="008F4446"/>
    <w:rsid w:val="008F46EB"/>
    <w:rsid w:val="00901BBF"/>
    <w:rsid w:val="00901BC8"/>
    <w:rsid w:val="00902B6D"/>
    <w:rsid w:val="00903DDA"/>
    <w:rsid w:val="009052B0"/>
    <w:rsid w:val="00905A2C"/>
    <w:rsid w:val="00905B26"/>
    <w:rsid w:val="00907499"/>
    <w:rsid w:val="00907510"/>
    <w:rsid w:val="009118D9"/>
    <w:rsid w:val="009124E5"/>
    <w:rsid w:val="0091415D"/>
    <w:rsid w:val="00916586"/>
    <w:rsid w:val="00916DE2"/>
    <w:rsid w:val="00916FC3"/>
    <w:rsid w:val="00920179"/>
    <w:rsid w:val="00921758"/>
    <w:rsid w:val="0092220E"/>
    <w:rsid w:val="00926162"/>
    <w:rsid w:val="0093095D"/>
    <w:rsid w:val="00930CE9"/>
    <w:rsid w:val="00932F12"/>
    <w:rsid w:val="00937B3A"/>
    <w:rsid w:val="0094174E"/>
    <w:rsid w:val="00943808"/>
    <w:rsid w:val="00944E6F"/>
    <w:rsid w:val="00945530"/>
    <w:rsid w:val="009476BD"/>
    <w:rsid w:val="00952BF5"/>
    <w:rsid w:val="00953722"/>
    <w:rsid w:val="009540DA"/>
    <w:rsid w:val="009546EE"/>
    <w:rsid w:val="009550CE"/>
    <w:rsid w:val="0095543D"/>
    <w:rsid w:val="00956FC5"/>
    <w:rsid w:val="00957553"/>
    <w:rsid w:val="00957BB4"/>
    <w:rsid w:val="0096102D"/>
    <w:rsid w:val="00962024"/>
    <w:rsid w:val="0096217A"/>
    <w:rsid w:val="00963134"/>
    <w:rsid w:val="009632AD"/>
    <w:rsid w:val="00966CEC"/>
    <w:rsid w:val="0096781F"/>
    <w:rsid w:val="0097069C"/>
    <w:rsid w:val="00984A46"/>
    <w:rsid w:val="00997940"/>
    <w:rsid w:val="00997BC2"/>
    <w:rsid w:val="009A2F05"/>
    <w:rsid w:val="009A331A"/>
    <w:rsid w:val="009A6AC6"/>
    <w:rsid w:val="009A77B4"/>
    <w:rsid w:val="009C0750"/>
    <w:rsid w:val="009C2922"/>
    <w:rsid w:val="009C2BA5"/>
    <w:rsid w:val="009C387E"/>
    <w:rsid w:val="009C3E3E"/>
    <w:rsid w:val="009C57BB"/>
    <w:rsid w:val="009C6E78"/>
    <w:rsid w:val="009C725D"/>
    <w:rsid w:val="009C79F6"/>
    <w:rsid w:val="009D1FE6"/>
    <w:rsid w:val="009D278D"/>
    <w:rsid w:val="009D5A2C"/>
    <w:rsid w:val="009D5B5B"/>
    <w:rsid w:val="009E16E0"/>
    <w:rsid w:val="009E61B8"/>
    <w:rsid w:val="009F09E8"/>
    <w:rsid w:val="009F0A27"/>
    <w:rsid w:val="009F29A7"/>
    <w:rsid w:val="009F2AB2"/>
    <w:rsid w:val="009F4E75"/>
    <w:rsid w:val="009F616C"/>
    <w:rsid w:val="009F67A1"/>
    <w:rsid w:val="009F6A00"/>
    <w:rsid w:val="009F7E4F"/>
    <w:rsid w:val="00A026E7"/>
    <w:rsid w:val="00A054F8"/>
    <w:rsid w:val="00A06C40"/>
    <w:rsid w:val="00A11798"/>
    <w:rsid w:val="00A135FD"/>
    <w:rsid w:val="00A14AC7"/>
    <w:rsid w:val="00A14ED3"/>
    <w:rsid w:val="00A15688"/>
    <w:rsid w:val="00A174C8"/>
    <w:rsid w:val="00A21EEE"/>
    <w:rsid w:val="00A239B6"/>
    <w:rsid w:val="00A24959"/>
    <w:rsid w:val="00A24B7A"/>
    <w:rsid w:val="00A261EC"/>
    <w:rsid w:val="00A26670"/>
    <w:rsid w:val="00A2676F"/>
    <w:rsid w:val="00A27493"/>
    <w:rsid w:val="00A27A08"/>
    <w:rsid w:val="00A31DA8"/>
    <w:rsid w:val="00A3319B"/>
    <w:rsid w:val="00A3600F"/>
    <w:rsid w:val="00A375CE"/>
    <w:rsid w:val="00A40E9A"/>
    <w:rsid w:val="00A4203F"/>
    <w:rsid w:val="00A428BA"/>
    <w:rsid w:val="00A42FED"/>
    <w:rsid w:val="00A4396E"/>
    <w:rsid w:val="00A44B5C"/>
    <w:rsid w:val="00A45F20"/>
    <w:rsid w:val="00A45F99"/>
    <w:rsid w:val="00A460AF"/>
    <w:rsid w:val="00A4634F"/>
    <w:rsid w:val="00A47E51"/>
    <w:rsid w:val="00A50393"/>
    <w:rsid w:val="00A5099D"/>
    <w:rsid w:val="00A523A1"/>
    <w:rsid w:val="00A5249E"/>
    <w:rsid w:val="00A52EB6"/>
    <w:rsid w:val="00A53F82"/>
    <w:rsid w:val="00A5776A"/>
    <w:rsid w:val="00A57ADA"/>
    <w:rsid w:val="00A60DED"/>
    <w:rsid w:val="00A66231"/>
    <w:rsid w:val="00A66677"/>
    <w:rsid w:val="00A717A2"/>
    <w:rsid w:val="00A71DD0"/>
    <w:rsid w:val="00A73B85"/>
    <w:rsid w:val="00A77FBE"/>
    <w:rsid w:val="00A80735"/>
    <w:rsid w:val="00A82265"/>
    <w:rsid w:val="00A83868"/>
    <w:rsid w:val="00A922CC"/>
    <w:rsid w:val="00A93806"/>
    <w:rsid w:val="00A975DB"/>
    <w:rsid w:val="00AA086A"/>
    <w:rsid w:val="00AA1CED"/>
    <w:rsid w:val="00AB35FF"/>
    <w:rsid w:val="00AB3D0E"/>
    <w:rsid w:val="00AB7824"/>
    <w:rsid w:val="00AC0DEB"/>
    <w:rsid w:val="00AD2C92"/>
    <w:rsid w:val="00AD32A5"/>
    <w:rsid w:val="00AD4B2E"/>
    <w:rsid w:val="00AD6381"/>
    <w:rsid w:val="00AD63ED"/>
    <w:rsid w:val="00AD675D"/>
    <w:rsid w:val="00AD7A18"/>
    <w:rsid w:val="00AE2D5C"/>
    <w:rsid w:val="00AE5573"/>
    <w:rsid w:val="00AE6D3F"/>
    <w:rsid w:val="00AE71E5"/>
    <w:rsid w:val="00AF00DC"/>
    <w:rsid w:val="00AF0EEB"/>
    <w:rsid w:val="00AF2778"/>
    <w:rsid w:val="00AF37ED"/>
    <w:rsid w:val="00AF61DD"/>
    <w:rsid w:val="00AF74FE"/>
    <w:rsid w:val="00B01EAA"/>
    <w:rsid w:val="00B02214"/>
    <w:rsid w:val="00B03736"/>
    <w:rsid w:val="00B052AD"/>
    <w:rsid w:val="00B066BA"/>
    <w:rsid w:val="00B10C7E"/>
    <w:rsid w:val="00B129E5"/>
    <w:rsid w:val="00B13368"/>
    <w:rsid w:val="00B13FDE"/>
    <w:rsid w:val="00B14F11"/>
    <w:rsid w:val="00B17421"/>
    <w:rsid w:val="00B17C21"/>
    <w:rsid w:val="00B21842"/>
    <w:rsid w:val="00B242A8"/>
    <w:rsid w:val="00B246E5"/>
    <w:rsid w:val="00B30228"/>
    <w:rsid w:val="00B34904"/>
    <w:rsid w:val="00B35302"/>
    <w:rsid w:val="00B36F1F"/>
    <w:rsid w:val="00B37D23"/>
    <w:rsid w:val="00B436EA"/>
    <w:rsid w:val="00B44CF9"/>
    <w:rsid w:val="00B46EBD"/>
    <w:rsid w:val="00B5061A"/>
    <w:rsid w:val="00B53983"/>
    <w:rsid w:val="00B54F1D"/>
    <w:rsid w:val="00B56240"/>
    <w:rsid w:val="00B563FC"/>
    <w:rsid w:val="00B567FF"/>
    <w:rsid w:val="00B60233"/>
    <w:rsid w:val="00B610E1"/>
    <w:rsid w:val="00B62AC2"/>
    <w:rsid w:val="00B62C66"/>
    <w:rsid w:val="00B62F32"/>
    <w:rsid w:val="00B63853"/>
    <w:rsid w:val="00B63D7B"/>
    <w:rsid w:val="00B65D20"/>
    <w:rsid w:val="00B65E45"/>
    <w:rsid w:val="00B67137"/>
    <w:rsid w:val="00B72086"/>
    <w:rsid w:val="00B74209"/>
    <w:rsid w:val="00B805B2"/>
    <w:rsid w:val="00B8185E"/>
    <w:rsid w:val="00B82F15"/>
    <w:rsid w:val="00B83C82"/>
    <w:rsid w:val="00B83DBA"/>
    <w:rsid w:val="00B84A84"/>
    <w:rsid w:val="00B84E04"/>
    <w:rsid w:val="00B900FB"/>
    <w:rsid w:val="00B90992"/>
    <w:rsid w:val="00B9257A"/>
    <w:rsid w:val="00B927BB"/>
    <w:rsid w:val="00B941B5"/>
    <w:rsid w:val="00B96A18"/>
    <w:rsid w:val="00B97F96"/>
    <w:rsid w:val="00BA285D"/>
    <w:rsid w:val="00BA2A6F"/>
    <w:rsid w:val="00BA3C05"/>
    <w:rsid w:val="00BA4176"/>
    <w:rsid w:val="00BA43ED"/>
    <w:rsid w:val="00BA4BD7"/>
    <w:rsid w:val="00BA557B"/>
    <w:rsid w:val="00BB08AD"/>
    <w:rsid w:val="00BB1BAF"/>
    <w:rsid w:val="00BB222A"/>
    <w:rsid w:val="00BB358B"/>
    <w:rsid w:val="00BB5241"/>
    <w:rsid w:val="00BB5CDD"/>
    <w:rsid w:val="00BB5F0D"/>
    <w:rsid w:val="00BC50FE"/>
    <w:rsid w:val="00BC57D1"/>
    <w:rsid w:val="00BD1657"/>
    <w:rsid w:val="00BD3787"/>
    <w:rsid w:val="00BD4AC5"/>
    <w:rsid w:val="00BD6F1F"/>
    <w:rsid w:val="00BD7E6C"/>
    <w:rsid w:val="00BE04C0"/>
    <w:rsid w:val="00BE4611"/>
    <w:rsid w:val="00BE61AE"/>
    <w:rsid w:val="00BE75B6"/>
    <w:rsid w:val="00BE7EBF"/>
    <w:rsid w:val="00BF6D7C"/>
    <w:rsid w:val="00C02242"/>
    <w:rsid w:val="00C0715B"/>
    <w:rsid w:val="00C106D9"/>
    <w:rsid w:val="00C11ED8"/>
    <w:rsid w:val="00C12C2C"/>
    <w:rsid w:val="00C13596"/>
    <w:rsid w:val="00C15783"/>
    <w:rsid w:val="00C17793"/>
    <w:rsid w:val="00C21C2D"/>
    <w:rsid w:val="00C23B96"/>
    <w:rsid w:val="00C2763C"/>
    <w:rsid w:val="00C305DA"/>
    <w:rsid w:val="00C319B7"/>
    <w:rsid w:val="00C34E68"/>
    <w:rsid w:val="00C4560E"/>
    <w:rsid w:val="00C4571D"/>
    <w:rsid w:val="00C52535"/>
    <w:rsid w:val="00C57A62"/>
    <w:rsid w:val="00C57CC3"/>
    <w:rsid w:val="00C61FC7"/>
    <w:rsid w:val="00C6498A"/>
    <w:rsid w:val="00C64D2E"/>
    <w:rsid w:val="00C65693"/>
    <w:rsid w:val="00C7222E"/>
    <w:rsid w:val="00C763BD"/>
    <w:rsid w:val="00C7647C"/>
    <w:rsid w:val="00C77D68"/>
    <w:rsid w:val="00C81658"/>
    <w:rsid w:val="00C81F8C"/>
    <w:rsid w:val="00C832BD"/>
    <w:rsid w:val="00C94FFA"/>
    <w:rsid w:val="00C97436"/>
    <w:rsid w:val="00CA0B77"/>
    <w:rsid w:val="00CA3D89"/>
    <w:rsid w:val="00CA45DC"/>
    <w:rsid w:val="00CA4DA3"/>
    <w:rsid w:val="00CB0AE5"/>
    <w:rsid w:val="00CB6617"/>
    <w:rsid w:val="00CB7659"/>
    <w:rsid w:val="00CC0C04"/>
    <w:rsid w:val="00CC25AC"/>
    <w:rsid w:val="00CC286A"/>
    <w:rsid w:val="00CC33FF"/>
    <w:rsid w:val="00CC3CDC"/>
    <w:rsid w:val="00CC4BA5"/>
    <w:rsid w:val="00CC63E2"/>
    <w:rsid w:val="00CD26D1"/>
    <w:rsid w:val="00CD3123"/>
    <w:rsid w:val="00CD4903"/>
    <w:rsid w:val="00CD5823"/>
    <w:rsid w:val="00CD68EA"/>
    <w:rsid w:val="00CE1FCC"/>
    <w:rsid w:val="00CE4A1C"/>
    <w:rsid w:val="00CE5271"/>
    <w:rsid w:val="00CE7B8D"/>
    <w:rsid w:val="00CF0277"/>
    <w:rsid w:val="00CF1014"/>
    <w:rsid w:val="00CF4CEB"/>
    <w:rsid w:val="00CF590D"/>
    <w:rsid w:val="00D0365C"/>
    <w:rsid w:val="00D04975"/>
    <w:rsid w:val="00D05113"/>
    <w:rsid w:val="00D057B5"/>
    <w:rsid w:val="00D06058"/>
    <w:rsid w:val="00D068DD"/>
    <w:rsid w:val="00D06B76"/>
    <w:rsid w:val="00D06FA8"/>
    <w:rsid w:val="00D079F4"/>
    <w:rsid w:val="00D07AC5"/>
    <w:rsid w:val="00D102E0"/>
    <w:rsid w:val="00D1376D"/>
    <w:rsid w:val="00D13A8F"/>
    <w:rsid w:val="00D20F95"/>
    <w:rsid w:val="00D21970"/>
    <w:rsid w:val="00D25555"/>
    <w:rsid w:val="00D25DBB"/>
    <w:rsid w:val="00D26C16"/>
    <w:rsid w:val="00D33B02"/>
    <w:rsid w:val="00D36099"/>
    <w:rsid w:val="00D36AED"/>
    <w:rsid w:val="00D426C2"/>
    <w:rsid w:val="00D42C63"/>
    <w:rsid w:val="00D46D38"/>
    <w:rsid w:val="00D477EF"/>
    <w:rsid w:val="00D51E96"/>
    <w:rsid w:val="00D53459"/>
    <w:rsid w:val="00D53CC4"/>
    <w:rsid w:val="00D5513D"/>
    <w:rsid w:val="00D55C4E"/>
    <w:rsid w:val="00D567B2"/>
    <w:rsid w:val="00D5739B"/>
    <w:rsid w:val="00D6101E"/>
    <w:rsid w:val="00D61B7B"/>
    <w:rsid w:val="00D62159"/>
    <w:rsid w:val="00D66437"/>
    <w:rsid w:val="00D67DE2"/>
    <w:rsid w:val="00D71D9A"/>
    <w:rsid w:val="00D77A3D"/>
    <w:rsid w:val="00D802E6"/>
    <w:rsid w:val="00D80859"/>
    <w:rsid w:val="00D851A7"/>
    <w:rsid w:val="00D85A7A"/>
    <w:rsid w:val="00D85B29"/>
    <w:rsid w:val="00D86929"/>
    <w:rsid w:val="00D91A28"/>
    <w:rsid w:val="00D937AF"/>
    <w:rsid w:val="00D97CEE"/>
    <w:rsid w:val="00DA1DAA"/>
    <w:rsid w:val="00DA568B"/>
    <w:rsid w:val="00DB05B2"/>
    <w:rsid w:val="00DB3BD7"/>
    <w:rsid w:val="00DB4477"/>
    <w:rsid w:val="00DB4C6B"/>
    <w:rsid w:val="00DB5AF2"/>
    <w:rsid w:val="00DB62DD"/>
    <w:rsid w:val="00DB70B8"/>
    <w:rsid w:val="00DB74E9"/>
    <w:rsid w:val="00DC4381"/>
    <w:rsid w:val="00DD2876"/>
    <w:rsid w:val="00DD3989"/>
    <w:rsid w:val="00DD3BAB"/>
    <w:rsid w:val="00DE06C4"/>
    <w:rsid w:val="00DE42E9"/>
    <w:rsid w:val="00DE59A3"/>
    <w:rsid w:val="00DE5EE4"/>
    <w:rsid w:val="00DE6459"/>
    <w:rsid w:val="00DF007C"/>
    <w:rsid w:val="00DF0696"/>
    <w:rsid w:val="00DF0E71"/>
    <w:rsid w:val="00DF6F61"/>
    <w:rsid w:val="00DF6FA4"/>
    <w:rsid w:val="00DF76A8"/>
    <w:rsid w:val="00E054ED"/>
    <w:rsid w:val="00E055D0"/>
    <w:rsid w:val="00E06C92"/>
    <w:rsid w:val="00E07227"/>
    <w:rsid w:val="00E100A9"/>
    <w:rsid w:val="00E10BF8"/>
    <w:rsid w:val="00E1112D"/>
    <w:rsid w:val="00E1339B"/>
    <w:rsid w:val="00E137DB"/>
    <w:rsid w:val="00E14B8D"/>
    <w:rsid w:val="00E1576A"/>
    <w:rsid w:val="00E165CD"/>
    <w:rsid w:val="00E2287F"/>
    <w:rsid w:val="00E276B3"/>
    <w:rsid w:val="00E30223"/>
    <w:rsid w:val="00E338FC"/>
    <w:rsid w:val="00E40039"/>
    <w:rsid w:val="00E40C6D"/>
    <w:rsid w:val="00E4260E"/>
    <w:rsid w:val="00E42640"/>
    <w:rsid w:val="00E434D1"/>
    <w:rsid w:val="00E44920"/>
    <w:rsid w:val="00E46632"/>
    <w:rsid w:val="00E47C88"/>
    <w:rsid w:val="00E50131"/>
    <w:rsid w:val="00E50E90"/>
    <w:rsid w:val="00E51EEF"/>
    <w:rsid w:val="00E56FD3"/>
    <w:rsid w:val="00E57499"/>
    <w:rsid w:val="00E57824"/>
    <w:rsid w:val="00E57AE8"/>
    <w:rsid w:val="00E601E4"/>
    <w:rsid w:val="00E607D9"/>
    <w:rsid w:val="00E63939"/>
    <w:rsid w:val="00E64223"/>
    <w:rsid w:val="00E654C6"/>
    <w:rsid w:val="00E71DB7"/>
    <w:rsid w:val="00E747DE"/>
    <w:rsid w:val="00E752C6"/>
    <w:rsid w:val="00E7664D"/>
    <w:rsid w:val="00E828C7"/>
    <w:rsid w:val="00E84E16"/>
    <w:rsid w:val="00E93C2B"/>
    <w:rsid w:val="00E94A03"/>
    <w:rsid w:val="00EA02B7"/>
    <w:rsid w:val="00EA0A0B"/>
    <w:rsid w:val="00EA0AEA"/>
    <w:rsid w:val="00EA2D13"/>
    <w:rsid w:val="00EA3306"/>
    <w:rsid w:val="00EB0184"/>
    <w:rsid w:val="00EB1D68"/>
    <w:rsid w:val="00EB2F2E"/>
    <w:rsid w:val="00EB4494"/>
    <w:rsid w:val="00EB44BC"/>
    <w:rsid w:val="00EB57ED"/>
    <w:rsid w:val="00EC08C0"/>
    <w:rsid w:val="00EC0937"/>
    <w:rsid w:val="00EC0DCF"/>
    <w:rsid w:val="00ED118D"/>
    <w:rsid w:val="00ED3558"/>
    <w:rsid w:val="00ED6CE9"/>
    <w:rsid w:val="00ED7239"/>
    <w:rsid w:val="00ED7E3C"/>
    <w:rsid w:val="00ED7E9F"/>
    <w:rsid w:val="00EE26E1"/>
    <w:rsid w:val="00EE6F4E"/>
    <w:rsid w:val="00EE70D3"/>
    <w:rsid w:val="00EF04FA"/>
    <w:rsid w:val="00EF24D3"/>
    <w:rsid w:val="00EF25E3"/>
    <w:rsid w:val="00EF2891"/>
    <w:rsid w:val="00EF3045"/>
    <w:rsid w:val="00EF4A58"/>
    <w:rsid w:val="00F05953"/>
    <w:rsid w:val="00F071E0"/>
    <w:rsid w:val="00F0775B"/>
    <w:rsid w:val="00F1081D"/>
    <w:rsid w:val="00F1262A"/>
    <w:rsid w:val="00F14178"/>
    <w:rsid w:val="00F145B0"/>
    <w:rsid w:val="00F14B95"/>
    <w:rsid w:val="00F17DFD"/>
    <w:rsid w:val="00F2153E"/>
    <w:rsid w:val="00F23D6A"/>
    <w:rsid w:val="00F2438A"/>
    <w:rsid w:val="00F25E92"/>
    <w:rsid w:val="00F27E3A"/>
    <w:rsid w:val="00F300D6"/>
    <w:rsid w:val="00F30C15"/>
    <w:rsid w:val="00F311F3"/>
    <w:rsid w:val="00F31457"/>
    <w:rsid w:val="00F32B00"/>
    <w:rsid w:val="00F34170"/>
    <w:rsid w:val="00F358C6"/>
    <w:rsid w:val="00F376F2"/>
    <w:rsid w:val="00F3797F"/>
    <w:rsid w:val="00F44521"/>
    <w:rsid w:val="00F46B71"/>
    <w:rsid w:val="00F51241"/>
    <w:rsid w:val="00F53628"/>
    <w:rsid w:val="00F55A95"/>
    <w:rsid w:val="00F56214"/>
    <w:rsid w:val="00F60A47"/>
    <w:rsid w:val="00F61627"/>
    <w:rsid w:val="00F63509"/>
    <w:rsid w:val="00F63B00"/>
    <w:rsid w:val="00F63C4E"/>
    <w:rsid w:val="00F64F53"/>
    <w:rsid w:val="00F66C50"/>
    <w:rsid w:val="00F66D66"/>
    <w:rsid w:val="00F7198A"/>
    <w:rsid w:val="00F71D70"/>
    <w:rsid w:val="00F73AFB"/>
    <w:rsid w:val="00F7546B"/>
    <w:rsid w:val="00F75EB7"/>
    <w:rsid w:val="00F7621D"/>
    <w:rsid w:val="00F76D0F"/>
    <w:rsid w:val="00F80D0F"/>
    <w:rsid w:val="00F82224"/>
    <w:rsid w:val="00F83B8B"/>
    <w:rsid w:val="00F83F9A"/>
    <w:rsid w:val="00F86042"/>
    <w:rsid w:val="00F915BF"/>
    <w:rsid w:val="00F92047"/>
    <w:rsid w:val="00F93891"/>
    <w:rsid w:val="00F96DD7"/>
    <w:rsid w:val="00FA1C08"/>
    <w:rsid w:val="00FA21F3"/>
    <w:rsid w:val="00FA2FC1"/>
    <w:rsid w:val="00FA3B12"/>
    <w:rsid w:val="00FA3DFB"/>
    <w:rsid w:val="00FA7CC0"/>
    <w:rsid w:val="00FB1AE1"/>
    <w:rsid w:val="00FB3080"/>
    <w:rsid w:val="00FB6DF7"/>
    <w:rsid w:val="00FC04AB"/>
    <w:rsid w:val="00FC1478"/>
    <w:rsid w:val="00FC2B08"/>
    <w:rsid w:val="00FC68D7"/>
    <w:rsid w:val="00FD1C32"/>
    <w:rsid w:val="00FD2707"/>
    <w:rsid w:val="00FD2BC5"/>
    <w:rsid w:val="00FD3DED"/>
    <w:rsid w:val="00FD7193"/>
    <w:rsid w:val="00FE2D9D"/>
    <w:rsid w:val="00FE456C"/>
    <w:rsid w:val="00FE4EEF"/>
    <w:rsid w:val="00FE7CE0"/>
    <w:rsid w:val="00FF4CDE"/>
    <w:rsid w:val="00FF5D39"/>
    <w:rsid w:val="5D8A0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D88C2CA"/>
  <w15:chartTrackingRefBased/>
  <w15:docId w15:val="{89726803-B8CF-4B3D-8030-5D40621C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微软雅黑" w:eastAsia="微软雅黑" w:hAnsi="微软雅黑"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color w:val="000000"/>
      <w:kern w:val="2"/>
      <w:sz w:val="32"/>
      <w:szCs w:val="3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b/>
      <w:bCs/>
      <w:color w:val="000000"/>
      <w:kern w:val="44"/>
      <w:sz w:val="44"/>
      <w:szCs w:val="44"/>
    </w:rPr>
  </w:style>
  <w:style w:type="paragraph" w:styleId="a3">
    <w:name w:val="annotation text"/>
    <w:basedOn w:val="a"/>
    <w:link w:val="a4"/>
    <w:uiPriority w:val="99"/>
    <w:unhideWhenUsed/>
    <w:qFormat/>
    <w:pPr>
      <w:jc w:val="left"/>
    </w:pPr>
  </w:style>
  <w:style w:type="character" w:customStyle="1" w:styleId="a4">
    <w:name w:val="批注文字 字符"/>
    <w:link w:val="a3"/>
    <w:uiPriority w:val="99"/>
    <w:qFormat/>
    <w:rPr>
      <w:color w:val="000000"/>
      <w:kern w:val="2"/>
      <w:sz w:val="32"/>
      <w:szCs w:val="32"/>
    </w:rPr>
  </w:style>
  <w:style w:type="paragraph" w:styleId="a5">
    <w:name w:val="Body Text Indent"/>
    <w:basedOn w:val="a"/>
    <w:link w:val="11"/>
    <w:uiPriority w:val="99"/>
    <w:unhideWhenUsed/>
    <w:pPr>
      <w:ind w:firstLineChars="200" w:firstLine="560"/>
    </w:pPr>
    <w:rPr>
      <w:rFonts w:ascii="仿宋_GB2312" w:eastAsia="仿宋_GB2312" w:hAnsi="Times New Roman"/>
      <w:color w:val="auto"/>
      <w:sz w:val="28"/>
      <w:szCs w:val="24"/>
    </w:rPr>
  </w:style>
  <w:style w:type="character" w:customStyle="1" w:styleId="11">
    <w:name w:val="正文文本缩进 字符1"/>
    <w:link w:val="a5"/>
    <w:uiPriority w:val="99"/>
    <w:semiHidden/>
    <w:rPr>
      <w:rFonts w:ascii="仿宋_GB2312" w:eastAsia="仿宋_GB2312" w:hAnsi="Times New Roman" w:cs="Times New Roman"/>
      <w:color w:val="auto"/>
      <w:sz w:val="28"/>
      <w:szCs w:val="24"/>
    </w:rPr>
  </w:style>
  <w:style w:type="paragraph" w:styleId="a6">
    <w:name w:val="Balloon Text"/>
    <w:basedOn w:val="a"/>
    <w:link w:val="a7"/>
    <w:uiPriority w:val="99"/>
    <w:unhideWhenUsed/>
    <w:rPr>
      <w:sz w:val="18"/>
      <w:szCs w:val="18"/>
    </w:rPr>
  </w:style>
  <w:style w:type="character" w:customStyle="1" w:styleId="a7">
    <w:name w:val="批注框文本 字符"/>
    <w:link w:val="a6"/>
    <w:uiPriority w:val="99"/>
    <w:semiHidden/>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character" w:customStyle="1" w:styleId="a9">
    <w:name w:val="页脚 字符"/>
    <w:link w:val="a8"/>
    <w:uiPriority w:val="99"/>
    <w:rPr>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Pr>
      <w:sz w:val="18"/>
      <w:szCs w:val="18"/>
    </w:rPr>
  </w:style>
  <w:style w:type="paragraph" w:styleId="12">
    <w:name w:val="toc 1"/>
    <w:basedOn w:val="a"/>
    <w:next w:val="a"/>
    <w:uiPriority w:val="39"/>
    <w:unhideWhenUsed/>
    <w:pPr>
      <w:tabs>
        <w:tab w:val="right" w:leader="dot" w:pos="8494"/>
      </w:tabs>
    </w:pPr>
  </w:style>
  <w:style w:type="paragraph" w:styleId="ac">
    <w:name w:val="Normal (Web)"/>
    <w:basedOn w:val="a"/>
    <w:uiPriority w:val="99"/>
    <w:unhideWhenUsed/>
    <w:pPr>
      <w:widowControl/>
      <w:spacing w:before="100" w:beforeAutospacing="1" w:after="100" w:afterAutospacing="1"/>
      <w:jc w:val="left"/>
    </w:pPr>
    <w:rPr>
      <w:rFonts w:ascii="宋体" w:eastAsia="宋体" w:hAnsi="宋体" w:cs="宋体"/>
      <w:color w:val="auto"/>
      <w:kern w:val="0"/>
      <w:sz w:val="24"/>
      <w:szCs w:val="24"/>
    </w:rPr>
  </w:style>
  <w:style w:type="paragraph" w:styleId="ad">
    <w:name w:val="annotation subject"/>
    <w:basedOn w:val="a3"/>
    <w:next w:val="a3"/>
    <w:link w:val="ae"/>
    <w:uiPriority w:val="99"/>
    <w:unhideWhenUsed/>
    <w:rPr>
      <w:b/>
      <w:bCs/>
    </w:rPr>
  </w:style>
  <w:style w:type="character" w:customStyle="1" w:styleId="ae">
    <w:name w:val="批注主题 字符"/>
    <w:link w:val="ad"/>
    <w:uiPriority w:val="99"/>
    <w:semiHidden/>
    <w:rPr>
      <w:b/>
      <w:bCs/>
      <w:color w:val="000000"/>
      <w:kern w:val="2"/>
      <w:sz w:val="32"/>
      <w:szCs w:val="32"/>
    </w:rPr>
  </w:style>
  <w:style w:type="table" w:styleId="af">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uiPriority w:val="99"/>
    <w:qFormat/>
    <w:rPr>
      <w:b/>
      <w:bCs/>
    </w:rPr>
  </w:style>
  <w:style w:type="character" w:styleId="af1">
    <w:name w:val="Hyperlink"/>
    <w:uiPriority w:val="99"/>
    <w:unhideWhenUsed/>
    <w:rPr>
      <w:color w:val="0000FF"/>
      <w:u w:val="single"/>
    </w:rPr>
  </w:style>
  <w:style w:type="character" w:styleId="af2">
    <w:name w:val="annotation reference"/>
    <w:uiPriority w:val="99"/>
    <w:unhideWhenUsed/>
    <w:qFormat/>
    <w:rPr>
      <w:sz w:val="21"/>
      <w:szCs w:val="21"/>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styleId="af3">
    <w:name w:val="List Paragraph"/>
    <w:basedOn w:val="a"/>
    <w:uiPriority w:val="34"/>
    <w:qFormat/>
    <w:pPr>
      <w:ind w:firstLineChars="200" w:firstLine="420"/>
    </w:pPr>
  </w:style>
  <w:style w:type="paragraph" w:styleId="af4">
    <w:name w:val="Revision"/>
    <w:uiPriority w:val="99"/>
    <w:semiHidden/>
    <w:rPr>
      <w:color w:val="000000"/>
      <w:kern w:val="2"/>
      <w:sz w:val="32"/>
      <w:szCs w:val="32"/>
    </w:rPr>
  </w:style>
  <w:style w:type="character" w:customStyle="1" w:styleId="af5">
    <w:name w:val="正文文本缩进 字符"/>
    <w:uiPriority w:val="99"/>
    <w:semiHidden/>
    <w:rPr>
      <w:rFonts w:ascii="仿宋_GB2312" w:eastAsia="仿宋_GB2312" w:hAnsi="Times New Roman" w:cs="Times New Roman"/>
      <w:color w:val="auto"/>
      <w:sz w:val="28"/>
      <w:szCs w:val="24"/>
    </w:rPr>
  </w:style>
  <w:style w:type="table" w:customStyle="1" w:styleId="13">
    <w:name w:val="网格型1"/>
    <w:basedOn w:val="a1"/>
    <w:uiPriority w:val="59"/>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uiPriority w:val="59"/>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773595">
      <w:bodyDiv w:val="1"/>
      <w:marLeft w:val="0"/>
      <w:marRight w:val="0"/>
      <w:marTop w:val="0"/>
      <w:marBottom w:val="0"/>
      <w:divBdr>
        <w:top w:val="none" w:sz="0" w:space="0" w:color="auto"/>
        <w:left w:val="none" w:sz="0" w:space="0" w:color="auto"/>
        <w:bottom w:val="none" w:sz="0" w:space="0" w:color="auto"/>
        <w:right w:val="none" w:sz="0" w:space="0" w:color="auto"/>
      </w:divBdr>
    </w:div>
    <w:div w:id="567770478">
      <w:bodyDiv w:val="1"/>
      <w:marLeft w:val="0"/>
      <w:marRight w:val="0"/>
      <w:marTop w:val="0"/>
      <w:marBottom w:val="0"/>
      <w:divBdr>
        <w:top w:val="none" w:sz="0" w:space="0" w:color="auto"/>
        <w:left w:val="none" w:sz="0" w:space="0" w:color="auto"/>
        <w:bottom w:val="none" w:sz="0" w:space="0" w:color="auto"/>
        <w:right w:val="none" w:sz="0" w:space="0" w:color="auto"/>
      </w:divBdr>
    </w:div>
    <w:div w:id="885988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20</Pages>
  <Words>2987</Words>
  <Characters>17030</Characters>
  <Application>Microsoft Office Word</Application>
  <DocSecurity>0</DocSecurity>
  <Lines>141</Lines>
  <Paragraphs>39</Paragraphs>
  <ScaleCrop>false</ScaleCrop>
  <Company>Sky123.Org</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滕克</dc:creator>
  <cp:keywords/>
  <dc:description/>
  <cp:lastModifiedBy>whr</cp:lastModifiedBy>
  <cp:revision>25</cp:revision>
  <cp:lastPrinted>2019-08-13T05:40:00Z</cp:lastPrinted>
  <dcterms:created xsi:type="dcterms:W3CDTF">2025-10-17T08:47:00Z</dcterms:created>
  <dcterms:modified xsi:type="dcterms:W3CDTF">2025-12-16T07:55:00Z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3B1FBC3FE64546038B4FC6B37444AA1E_12</vt:lpwstr>
  </property>
</Properties>
</file>