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352FCF">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352FCF">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352FCF">
      <w:pPr>
        <w:spacing w:line="360" w:lineRule="auto"/>
        <w:rPr>
          <w:rFonts w:ascii="新宋体" w:eastAsia="新宋体" w:hAnsi="新宋体" w:cs="宋体" w:hint="eastAsia"/>
          <w:b/>
          <w:kern w:val="0"/>
          <w:szCs w:val="21"/>
        </w:rPr>
      </w:pPr>
    </w:p>
    <w:p w:rsidR="00352FCF">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352FCF">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352FC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352FC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352FCF">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352FCF">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352FCF">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352FCF">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352FCF">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352FCF">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352FCF">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352FCF">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352FCF">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352FCF">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352FCF">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352FCF">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352FCF">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352FCF">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352FCF">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352FCF">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352FCF">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青银理财璀璨人生成就系列人民币理财计划2026年006期</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青银理财成就系列（低波共享）2026年006期</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CCCJGX26006</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352FCF">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352FCF">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352FCF">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352FCF">
            <w:pPr>
              <w:spacing w:line="360" w:lineRule="auto"/>
              <w:rPr>
                <w:rFonts w:ascii="新宋体" w:eastAsia="新宋体" w:hAnsi="新宋体"/>
              </w:rPr>
            </w:pPr>
            <w:r>
              <w:rPr>
                <w:rFonts w:ascii="新宋体" w:eastAsia="新宋体" w:hAnsi="新宋体" w:hint="eastAsia"/>
              </w:rPr>
              <w:t>A份额，销售代码【CCCJGX26006A】，销售名称：青银理财成就系列（低波共享）2026年006期A份额,销售对象【青岛银行及各销售服务渠道个人及机构客户，具体客户类型以销售机构规定为准】</w:t>
              <w:br/>
              <w:t>B份额，销售代码【CCCJGX26006B】，销售名称：青银理财成就系列（低波共享）2026年006期B份额（代发专属）,销售对象【青岛银行及各销售服务渠道个人及机构客户，具体客户类型以销售机构规定为准】</w:t>
              <w:br/>
              <w:t>C份额，销售代码【CCCJGX26006C】，销售名称：青银理财成就系列（低波共享）2026年006期C份额,销售对象【珠海农商银行及各销售服务渠道个人及机构客户，具体客户类型以销售机构规定为准】</w:t>
              <w:br/>
              <w:t>D份额，销售代码【CCCJGX26006D】，销售名称：青银理财成就系列（低波共享）2026年006期D份额,销售对象【浙江省联社及各销售服务渠道个人及机构客户，具体客户类型以销售机构规定为准】</w:t>
              <w:br/>
              <w:t>E份额，销售代码【CCCJGX26006E】，销售名称：青银理财成就系列（低波共享）2026年006期E份额,销售对象【大连银行及各销售服务渠道个人及机构客户，具体客户类型以销售机构规定为准】</w:t>
              <w:br/>
              <w:t>F份额，销售代码【CCCJGX26006F】，销售名称：青银理财成就系列（低波共享）2026年006期F份额（年终奖专享）,销售对象【中山农商银行及各销售服务渠道个人及机构客户，具体客户类型以销售机构规定为准】</w:t>
              <w:br/>
              <w:t>G份额，销售代码【CCCJGX26006G】，销售名称：青银理财成就系列（低波共享）2026年006期G份额,销售对象【湖南银行及各销售服务渠道个人及机构客户，具体客户类型以销售机构规定为准】</w:t>
            </w:r>
          </w:p>
          <w:p w:rsidR="00352FCF">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Z7003526000028，可通过中国理财网（http://www.chinawealth.com.cn）查询</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352FCF">
            <w:pPr>
              <w:spacing w:line="360" w:lineRule="auto"/>
              <w:rPr>
                <w:rFonts w:ascii="新宋体" w:eastAsia="新宋体" w:hAnsi="新宋体"/>
              </w:rPr>
            </w:pPr>
            <w:r>
              <w:rPr>
                <w:rFonts w:ascii="新宋体" w:eastAsia="新宋体" w:hAnsi="新宋体"/>
              </w:rPr>
              <w:t>2026年01月14日</w:t>
            </w:r>
            <w:r>
              <w:rPr>
                <w:rFonts w:ascii="新宋体" w:eastAsia="新宋体" w:hAnsi="新宋体" w:hint="eastAsia"/>
              </w:rPr>
              <w:t xml:space="preserve"> 9:00至</w:t>
            </w:r>
            <w:r>
              <w:rPr>
                <w:rFonts w:ascii="新宋体" w:eastAsia="新宋体" w:hAnsi="新宋体"/>
              </w:rPr>
              <w:t>2026年01月20日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352FCF">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352FCF">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2026年01月21日</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2027年02月18日</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rPr>
              <w:t>393</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A份额规模上限</w:t>
            </w:r>
            <w:r w:rsidR="005568FF">
              <w:rPr>
                <w:rFonts w:ascii="新宋体" w:eastAsia="新宋体" w:hAnsi="新宋体" w:hint="eastAsia"/>
              </w:rPr>
              <w:t>2</w:t>
            </w:r>
            <w:r>
              <w:rPr>
                <w:rFonts w:ascii="新宋体" w:eastAsia="新宋体" w:hAnsi="新宋体" w:hint="eastAsia"/>
              </w:rPr>
              <w:t>00000万，规模下限1万</w:t>
              <w:br/>
              <w:t>B份额规模上限100000万，规模下限1万</w:t>
              <w:br/>
              <w:t>C份额规模上限100000万，规模下限1万</w:t>
              <w:br/>
              <w:t>D份额规模上限200000万，规模下限1万</w:t>
              <w:br/>
              <w:t>E份额规模上限100000万，规模下限1万</w:t>
              <w:br/>
              <w:t>F份额规模上限100000万，规模下限1万</w:t>
              <w:br/>
              <w:t>G份额规模上限100000万，规模下限1万</w:t>
            </w:r>
          </w:p>
          <w:p w:rsidR="00352FCF">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352FCF">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352FCF">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352FCF">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352FCF">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珠海农商银行及各销售服务渠道，D份额销售渠道为浙江省联社及各销售服务渠道，E份额销售渠道为大连银行及各销售服务渠道，F份额销售渠道为中山农商银行及各销售服务渠道，G份额销售渠道为湖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352FCF">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352FCF">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单一投资者</w:t>
            </w:r>
          </w:p>
          <w:p w:rsidR="00352FCF">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352FCF">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352FCF">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352FCF">
            <w:pPr>
              <w:spacing w:line="360" w:lineRule="auto"/>
              <w:jc w:val="left"/>
              <w:rPr>
                <w:rFonts w:ascii="新宋体" w:eastAsia="新宋体" w:hAnsi="新宋体"/>
                <w:szCs w:val="21"/>
              </w:rPr>
            </w:pPr>
            <w:r>
              <w:rPr>
                <w:rFonts w:ascii="新宋体" w:eastAsia="新宋体" w:hAnsi="新宋体"/>
              </w:rPr>
              <w:t>各子份额均无上限</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352FCF">
            <w:pPr>
              <w:spacing w:line="360" w:lineRule="auto"/>
              <w:rPr>
                <w:rFonts w:ascii="新宋体" w:eastAsia="新宋体" w:hAnsi="新宋体" w:hint="eastAsia"/>
                <w:b/>
              </w:rPr>
            </w:pPr>
            <w:r>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352FCF">
            <w:pPr>
              <w:spacing w:line="360" w:lineRule="auto"/>
              <w:rPr>
                <w:rFonts w:ascii="新宋体" w:eastAsia="新宋体" w:hAnsi="新宋体" w:hint="eastAsia"/>
                <w:b/>
              </w:rPr>
            </w:pPr>
            <w:r>
              <w:rPr>
                <w:rFonts w:ascii="新宋体" w:eastAsia="新宋体" w:hAnsi="新宋体" w:hint="eastAsia"/>
                <w:b/>
              </w:rPr>
              <w:t>A份额业绩比较基准为2.25%（年化）</w:t>
              <w:br/>
              <w:t>B份额业绩比较基准为2.28%（年化）</w:t>
              <w:br/>
              <w:t>C份额业绩比较基准为2.25%（年化）</w:t>
              <w:br/>
              <w:t>D份额业绩比较基准为2.20%（年化）</w:t>
              <w:br/>
              <w:t>E份额业绩比较基准为2.15%（年化）</w:t>
              <w:br/>
              <w:t>F份额业绩比较基准为2.15%（年化）</w:t>
              <w:br/>
              <w:t>G份额业绩比较基准为2.05%（年化）</w:t>
            </w:r>
          </w:p>
          <w:p w:rsidR="00352FCF">
            <w:pPr>
              <w:spacing w:line="360" w:lineRule="auto"/>
              <w:rPr>
                <w:rFonts w:ascii="新宋体" w:eastAsia="新宋体" w:hAnsi="新宋体"/>
                <w:b/>
              </w:rPr>
            </w:pPr>
            <w:r>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业绩比较基准是产品管理人基于产品性质、投资策略、过往经验等因素对产品设定的投资目标，不代表产品的未来表现和实际收益，不构成对产品收益的承诺，投资须谨慎。</w:t>
            </w:r>
          </w:p>
          <w:p w:rsidR="00352FCF">
            <w:pPr>
              <w:spacing w:line="360" w:lineRule="auto"/>
              <w:rPr>
                <w:rFonts w:ascii="新宋体" w:eastAsia="新宋体" w:hAnsi="新宋体" w:hint="eastAsia"/>
                <w:b/>
              </w:rPr>
            </w:pPr>
            <w:r>
              <w:rPr>
                <w:b/>
              </w:rPr>
              <w:t>本产品为净值型产品，业绩表现将随市场情况波动，具有不确定性。当监管政策、市场环境、产品性质等因素发生变化，导致理财产品的业绩比较基准需要调整时，产品管理人将至少于调整日之前</w:t>
            </w:r>
            <w:r>
              <w:rPr>
                <w:rFonts w:hint="eastAsia"/>
                <w:b/>
              </w:rPr>
              <w:t>2</w:t>
            </w:r>
            <w:r>
              <w:rPr>
                <w:b/>
              </w:rPr>
              <w:t>个工作日通过机构官方渠道或与投资者约定的其他渠道公布调整情况和调整原因。</w:t>
            </w:r>
          </w:p>
          <w:p w:rsidR="00352FCF">
            <w:pPr>
              <w:spacing w:line="360" w:lineRule="auto"/>
              <w:rPr>
                <w:rFonts w:ascii="新宋体" w:eastAsia="新宋体" w:hAnsi="新宋体" w:hint="eastAsia"/>
              </w:rPr>
            </w:pPr>
            <w:r>
              <w:rPr>
                <w:rFonts w:ascii="新宋体" w:eastAsia="新宋体" w:hAnsi="新宋体" w:hint="eastAsia"/>
                <w:b/>
              </w:rPr>
              <w:t>如理财投资本金及收益未按时或足额收回，则本理财计划的到期收益可能降低，最不利情形损失部分或全部本金。对于超出</w:t>
            </w:r>
            <w:r>
              <w:rPr>
                <w:rFonts w:ascii="新宋体" w:eastAsia="新宋体" w:hAnsi="新宋体" w:hint="eastAsia"/>
                <w:b/>
              </w:rPr>
              <w:t>“</w:t>
            </w:r>
            <w:r>
              <w:rPr>
                <w:rFonts w:ascii="新宋体" w:eastAsia="新宋体" w:hAnsi="新宋体" w:hint="eastAsia"/>
                <w:b/>
              </w:rPr>
              <w:t>业绩基准</w:t>
            </w:r>
            <w:r>
              <w:rPr>
                <w:rFonts w:ascii="新宋体" w:eastAsia="新宋体" w:hAnsi="新宋体" w:hint="eastAsia"/>
                <w:b/>
              </w:rPr>
              <w:t>”</w:t>
            </w:r>
            <w:r>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352FCF">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352FCF">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0.25%；B份额固定管理费率（年化）为0.22%；C份额固定管理费率（年化）为0.25%；D份额固定管理费率（年化）为0.30%；E份额固定管理费率（年化）为0.35%；F份额固定管理费率（年化）为0.35%；G份额固定管理费率（年化）为0.45%</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（A份额2.25%、B份额2.28%、C份额2.25%、D份额2.20%、E份额2.15%、F份额2.15%、G份额2.05%），则超出部分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352FCF">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352FCF">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352FCF">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352FCF">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352FCF">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352FCF">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352FCF">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352FCF">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352FCF">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352FCF">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0-</w:t>
            </w:r>
            <w:r>
              <w:rPr>
                <w:rFonts w:ascii="新宋体" w:eastAsia="新宋体" w:hAnsi="新宋体" w:hint="eastAsia"/>
                <w:szCs w:val="21"/>
              </w:rPr>
              <w:t>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352FCF">
            <w:pPr>
              <w:spacing w:line="360" w:lineRule="auto"/>
              <w:jc w:val="center"/>
              <w:rPr>
                <w:rFonts w:ascii="新宋体" w:eastAsia="新宋体" w:hAnsi="新宋体"/>
                <w:szCs w:val="21"/>
              </w:rPr>
            </w:pPr>
            <w:r>
              <w:rPr>
                <w:rFonts w:ascii="新宋体" w:eastAsia="新宋体" w:hAnsi="新宋体" w:hint="eastAsia"/>
                <w:szCs w:val="21"/>
              </w:rPr>
              <w:t>0-20%</w:t>
            </w:r>
          </w:p>
        </w:tc>
      </w:tr>
    </w:tbl>
    <w:p w:rsidR="00352FCF">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352FCF">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352FCF">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352FCF">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352FCF">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352FCF">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352FCF">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352FCF">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352FCF">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352FCF">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352FCF">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352FC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352FC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352FCF">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352FCF">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352FCF">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352FCF">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352FCF">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352FCF">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352FC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352FC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352FCF">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352FCF">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352FCF">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352FCF">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A份额年化费率为0.25%，B份额年化费率为0.22%，C份额年化费率为0.25%，D份额年化费率为0.30%，E份额年化费率为0.35%，F份额年化费率为0.35%，G份额年化费率为0.45%</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A份额【0.25】%，B份额【0.22】%，C份额【0.25】%，D份额【0.30】%，E份额【0.35】%，F份额【0.35】%，G份额【0.45】%</w:t>
      </w:r>
      <w:r>
        <w:rPr>
          <w:rFonts w:ascii="新宋体" w:eastAsia="新宋体" w:hAnsi="新宋体" w:cs="新宋体" w:hint="eastAsia"/>
          <w:sz w:val="21"/>
          <w:szCs w:val="21"/>
        </w:rPr>
        <w:t>年费率计提，由理财管理人收取。以A份额为例，计算方法如下：</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0.25%</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352FCF">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352FCF">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本理财计划项下资产组合收益超出本理财计划业绩基准（A份额2.25%、B份额2.28%、C份额2.25%、D份额2.20%、E份额2.15%、F份额2.15%、G份额2.05%）的部分，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352FCF">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352FCF">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352FCF">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352FCF">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352FCF">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352FCF">
      <w:pPr>
        <w:snapToGrid w:val="0"/>
        <w:spacing w:line="360" w:lineRule="auto"/>
        <w:ind w:firstLine="420" w:firstLineChars="200"/>
        <w:jc w:val="left"/>
        <w:rPr>
          <w:b/>
        </w:rPr>
      </w:pPr>
      <w:r>
        <w:rPr>
          <w:rFonts w:hint="eastAsia"/>
          <w:b/>
        </w:rPr>
        <w:t>（6）</w:t>
      </w:r>
      <w:r>
        <w:rPr>
          <w:b/>
        </w:rPr>
        <w:t>重大事项公告</w:t>
      </w:r>
      <w:r>
        <w:rPr>
          <w:rFonts w:hint="eastAsia"/>
          <w:b/>
        </w:rPr>
        <w:t>。</w:t>
      </w:r>
    </w:p>
    <w:p w:rsidR="00352FCF">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352FCF">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352FCF">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352FCF">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352FCF">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352FCF">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F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352F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FCF">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444F00">
      <w:rPr>
        <w:rStyle w:val="PageNumber"/>
        <w:noProof/>
      </w:rPr>
      <w:t>1</w:t>
    </w:r>
    <w:r>
      <w:fldChar w:fldCharType="end"/>
    </w:r>
  </w:p>
  <w:p w:rsidR="00352FCF">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420"/>
  <w:drawingGridVerticalSpacing w:val="156"/>
  <w:noPunctuationKerning/>
  <w:characterSpacingControl w:val="compressPunctuation"/>
  <w:noLineBreaksAfter w:lang="en-US" w:val="([{·‘“〈《「『【〔〖（．［｛￡￥"/>
  <w:noLineBreaksBefore w:lang="en-US" w:val="!),.:;?]}¨·ˇˉ―‖’”…∶、。〃々〉》」』】〕〗！＂＇），．：；？］｀｜｝～￠"/>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2FCF"/>
    <w:rsid w:val="00353B39"/>
    <w:rsid w:val="003544BB"/>
    <w:rsid w:val="0035462C"/>
    <w:rsid w:val="00355154"/>
    <w:rsid w:val="00355A42"/>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4F00"/>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8FF"/>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47B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43"/>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87C4A"/>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1</TotalTime>
  <Pages>15</Pages>
  <Words>2084</Words>
  <Characters>11881</Characters>
  <Application>Microsoft Office Word</Application>
  <DocSecurity>0</DocSecurity>
  <Lines>99</Lines>
  <Paragraphs>27</Paragraphs>
  <ScaleCrop>false</ScaleCrop>
  <Company>WwW.YlmF.CoM</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2026-01-05T05:40:00Z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2052-12.1.0.15358</vt:lpwstr>
  </property>
</Properties>
</file>